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AD665E" w14:paraId="4B924C12" w14:textId="77777777" w:rsidTr="00AD665E">
        <w:tc>
          <w:tcPr>
            <w:tcW w:w="10194" w:type="dxa"/>
            <w:shd w:val="clear" w:color="auto" w:fill="335B74" w:themeFill="text2"/>
          </w:tcPr>
          <w:p w14:paraId="02DBF6A8" w14:textId="168A714D" w:rsidR="00AD665E" w:rsidRPr="00AD665E" w:rsidRDefault="00AD665E" w:rsidP="00AD665E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D665E">
              <w:rPr>
                <w:rFonts w:ascii="Arial" w:hAnsi="Arial" w:cs="Arial"/>
                <w:b/>
                <w:bCs/>
                <w:color w:val="FFFFFF" w:themeColor="background1"/>
              </w:rPr>
              <w:t>Catch-up and recovery funding for schools – supporting speech, language and communication</w:t>
            </w:r>
          </w:p>
        </w:tc>
      </w:tr>
    </w:tbl>
    <w:p w14:paraId="0CB45271" w14:textId="77777777" w:rsidR="00AD665E" w:rsidRDefault="00AD665E" w:rsidP="00E4396F">
      <w:pPr>
        <w:spacing w:after="0"/>
        <w:rPr>
          <w:rFonts w:ascii="Arial" w:hAnsi="Arial" w:cs="Arial"/>
          <w:b/>
          <w:bCs/>
          <w:color w:val="0B0C0C"/>
          <w:sz w:val="21"/>
          <w:szCs w:val="21"/>
          <w:u w:val="single"/>
          <w:shd w:val="clear" w:color="auto" w:fill="FFFFFF"/>
        </w:rPr>
      </w:pPr>
    </w:p>
    <w:p w14:paraId="6876D214" w14:textId="5F81AC1A" w:rsidR="00532C6F" w:rsidRPr="00AD665E" w:rsidRDefault="00532C6F" w:rsidP="00E4396F">
      <w:pPr>
        <w:spacing w:after="0"/>
        <w:rPr>
          <w:rFonts w:ascii="Arial" w:hAnsi="Arial" w:cs="Arial"/>
          <w:b/>
          <w:color w:val="335B74" w:themeColor="text2"/>
          <w:shd w:val="clear" w:color="auto" w:fill="FFFFFF"/>
        </w:rPr>
      </w:pPr>
      <w:r w:rsidRPr="00AD665E">
        <w:rPr>
          <w:rFonts w:ascii="Arial" w:hAnsi="Arial" w:cs="Arial"/>
          <w:b/>
          <w:color w:val="335B74" w:themeColor="text2"/>
          <w:shd w:val="clear" w:color="auto" w:fill="FFFFFF"/>
        </w:rPr>
        <w:t>Catch up</w:t>
      </w:r>
      <w:r w:rsidR="00E4396F" w:rsidRPr="00AD665E">
        <w:rPr>
          <w:rFonts w:ascii="Arial" w:hAnsi="Arial" w:cs="Arial"/>
          <w:b/>
          <w:color w:val="335B74" w:themeColor="text2"/>
          <w:shd w:val="clear" w:color="auto" w:fill="FFFFFF"/>
        </w:rPr>
        <w:t xml:space="preserve"> and recovery</w:t>
      </w:r>
      <w:r w:rsidRPr="00AD665E">
        <w:rPr>
          <w:rFonts w:ascii="Arial" w:hAnsi="Arial" w:cs="Arial"/>
          <w:b/>
          <w:color w:val="335B74" w:themeColor="text2"/>
          <w:shd w:val="clear" w:color="auto" w:fill="FFFFFF"/>
        </w:rPr>
        <w:t xml:space="preserve"> funding</w:t>
      </w:r>
    </w:p>
    <w:p w14:paraId="2E4579E8" w14:textId="31875FD6" w:rsidR="002F7BBF" w:rsidRDefault="0039206E" w:rsidP="00C03B6C">
      <w:pPr>
        <w:spacing w:after="120"/>
        <w:rPr>
          <w:rStyle w:val="Hyperlink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>A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ll state-funded primary, secondary and special schools in England 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>have received</w:t>
      </w:r>
      <w:r w:rsidR="00532C6F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g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rant funding 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in 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the </w:t>
      </w:r>
      <w:r w:rsidR="006209DF">
        <w:rPr>
          <w:rFonts w:ascii="Arial" w:hAnsi="Arial" w:cs="Arial"/>
          <w:color w:val="0B0C0C"/>
          <w:sz w:val="21"/>
          <w:szCs w:val="21"/>
          <w:shd w:val="clear" w:color="auto" w:fill="FFFFFF"/>
        </w:rPr>
        <w:br/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2020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-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21 academic year, to be spent on</w:t>
      </w:r>
      <w:r w:rsidR="00C03B6C" w:rsidRP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specific activities to support their pupils to catch up for lost teaching over the previous months</w:t>
      </w:r>
      <w:r w:rsidR="002F7BB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.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</w:p>
    <w:p w14:paraId="185CC700" w14:textId="42BCE913" w:rsidR="00A5290D" w:rsidRDefault="00A5290D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In February 2021 </w:t>
      </w:r>
      <w:r w:rsidR="0039206E">
        <w:rPr>
          <w:rFonts w:ascii="Arial" w:hAnsi="Arial" w:cs="Arial"/>
          <w:color w:val="0B0C0C"/>
          <w:sz w:val="21"/>
          <w:szCs w:val="21"/>
          <w:shd w:val="clear" w:color="auto" w:fill="FFFFFF"/>
        </w:rPr>
        <w:t>Government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announced that a</w:t>
      </w:r>
      <w:r w:rsidRPr="00A5290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new one-off Recovery Premium for state primary and secondary schools, building on the Pupil Premium, will be provided to schools.</w:t>
      </w:r>
      <w:r w:rsidR="006209DF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This is intended to</w:t>
      </w:r>
      <w:r w:rsidR="006209DF" w:rsidRPr="006209DF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help schools to bolster summer provision for their students, or for evidence-based approaches for supporting the most disadvantaged pupils from September.</w:t>
      </w:r>
    </w:p>
    <w:p w14:paraId="3AF91F43" w14:textId="2A135DB6" w:rsidR="00E4396F" w:rsidRPr="00AD665E" w:rsidRDefault="00E4396F" w:rsidP="00E4396F">
      <w:pPr>
        <w:spacing w:after="0"/>
        <w:rPr>
          <w:rFonts w:ascii="Arial" w:hAnsi="Arial" w:cs="Arial"/>
          <w:b/>
          <w:color w:val="335B74" w:themeColor="text2"/>
          <w:shd w:val="clear" w:color="auto" w:fill="FFFFFF"/>
        </w:rPr>
      </w:pPr>
      <w:r w:rsidRPr="00AD665E">
        <w:rPr>
          <w:rFonts w:ascii="Arial" w:hAnsi="Arial" w:cs="Arial"/>
          <w:b/>
          <w:color w:val="335B74" w:themeColor="text2"/>
          <w:shd w:val="clear" w:color="auto" w:fill="FFFFFF"/>
        </w:rPr>
        <w:t>How can the funding be spent?</w:t>
      </w:r>
    </w:p>
    <w:p w14:paraId="59800F2E" w14:textId="3362CC1E" w:rsidR="00532C6F" w:rsidRDefault="006209DF" w:rsidP="00532C6F">
      <w:pPr>
        <w:spacing w:after="120"/>
        <w:rPr>
          <w:rStyle w:val="Hyperlink"/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>H</w:t>
      </w:r>
      <w:r w:rsidR="00532C6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eadteachers can decide how the money is spent</w:t>
      </w:r>
      <w:r w:rsidR="0039206E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. In the case of catch up funding, </w:t>
      </w:r>
      <w:r w:rsidR="00532C6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the Department for Education has sign-posted heads to guidance published by the Education Endowment Foundation </w:t>
      </w:r>
      <w:r w:rsidR="00532C6F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(EEF) </w:t>
      </w:r>
      <w:r w:rsidR="00532C6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on</w:t>
      </w:r>
      <w:r w:rsidR="00532C6F" w:rsidRPr="00A25722">
        <w:rPr>
          <w:color w:val="0B0C0C"/>
          <w:sz w:val="21"/>
          <w:szCs w:val="21"/>
        </w:rPr>
        <w:t xml:space="preserve"> </w:t>
      </w:r>
      <w:r w:rsidR="00532C6F" w:rsidRPr="00A25722">
        <w:rPr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effective interventions to support schools</w:t>
      </w:r>
      <w:r w:rsidR="00532C6F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:</w:t>
      </w:r>
      <w:r w:rsidR="00532C6F" w:rsidRPr="00AD665E">
        <w:rPr>
          <w:rStyle w:val="Hyperlink"/>
          <w:b/>
          <w:bCs/>
        </w:rPr>
        <w:t xml:space="preserve"> </w:t>
      </w:r>
      <w:hyperlink r:id="rId7" w:history="1">
        <w:r w:rsidR="00532C6F" w:rsidRPr="008601C0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COVID-19 Support Guide for Schools</w:t>
        </w:r>
      </w:hyperlink>
    </w:p>
    <w:p w14:paraId="4FADCC36" w14:textId="7CA77F9E" w:rsidR="00532C6F" w:rsidRPr="00E4396F" w:rsidRDefault="0039206E" w:rsidP="00C03B6C">
      <w:pPr>
        <w:spacing w:after="120"/>
        <w:rPr>
          <w:rFonts w:ascii="Arial" w:hAnsi="Arial" w:cs="Arial"/>
          <w:b/>
          <w:bCs/>
          <w:color w:val="0B0C0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The Department for Education is clear that </w:t>
      </w:r>
      <w:hyperlink r:id="rId8" w:history="1">
        <w:r w:rsidRPr="006209DF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the pupil premium can be used for speech and language therapy</w:t>
        </w:r>
      </w:hyperlink>
      <w:r w:rsidRPr="00E4396F">
        <w:rPr>
          <w:rFonts w:ascii="Arial" w:hAnsi="Arial" w:cs="Arial"/>
          <w:b/>
          <w:bCs/>
          <w:color w:val="0B0C0C"/>
          <w:sz w:val="21"/>
          <w:szCs w:val="21"/>
          <w:shd w:val="clear" w:color="auto" w:fill="FFFFFF"/>
        </w:rPr>
        <w:t>.</w:t>
      </w:r>
    </w:p>
    <w:p w14:paraId="3A6274B3" w14:textId="65E4636F" w:rsidR="00227DF8" w:rsidRPr="00AD665E" w:rsidRDefault="00227DF8" w:rsidP="00E4396F">
      <w:pPr>
        <w:spacing w:after="0"/>
        <w:rPr>
          <w:rFonts w:ascii="Arial" w:hAnsi="Arial" w:cs="Arial"/>
          <w:b/>
          <w:color w:val="335B74" w:themeColor="text2"/>
          <w:shd w:val="clear" w:color="auto" w:fill="FFFFFF"/>
        </w:rPr>
      </w:pPr>
      <w:r w:rsidRPr="00AD665E">
        <w:rPr>
          <w:rFonts w:ascii="Arial" w:hAnsi="Arial" w:cs="Arial"/>
          <w:b/>
          <w:color w:val="335B74" w:themeColor="text2"/>
          <w:shd w:val="clear" w:color="auto" w:fill="FFFFFF"/>
        </w:rPr>
        <w:t>How can speech and language therapy</w:t>
      </w:r>
      <w:r w:rsidR="006D5EAD" w:rsidRPr="00AD665E">
        <w:rPr>
          <w:rFonts w:ascii="Arial" w:hAnsi="Arial" w:cs="Arial"/>
          <w:b/>
          <w:color w:val="335B74" w:themeColor="text2"/>
          <w:shd w:val="clear" w:color="auto" w:fill="FFFFFF"/>
        </w:rPr>
        <w:t xml:space="preserve"> help?</w:t>
      </w:r>
    </w:p>
    <w:p w14:paraId="6F4D039A" w14:textId="225F1EED" w:rsidR="00F819F6" w:rsidRPr="00A25722" w:rsidRDefault="006D5EAD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>The word-gap between children living in disadvantage and their peers is now well researched and recognised.</w:t>
      </w: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Oral language</w:t>
      </w:r>
      <w:r w:rsidR="00F819F6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skills are crucial to educational attainment across the curriculum, for both primary and secondary pupils. Speech and language therapy can support the following approaches:</w:t>
      </w:r>
    </w:p>
    <w:p w14:paraId="789020F4" w14:textId="77777777" w:rsidR="00BD2C61" w:rsidRPr="00A25722" w:rsidRDefault="00BD2C61" w:rsidP="00E4396F">
      <w:pPr>
        <w:pStyle w:val="ListParagraph"/>
        <w:numPr>
          <w:ilvl w:val="0"/>
          <w:numId w:val="1"/>
        </w:numPr>
        <w:spacing w:before="160" w:after="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Intervention programmes</w:t>
      </w:r>
    </w:p>
    <w:p w14:paraId="4C4D3424" w14:textId="6E8ABE63" w:rsidR="00BD2C61" w:rsidRPr="00A25722" w:rsidRDefault="00BD2C61" w:rsidP="001F653B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Speech and language therapists can provide</w:t>
      </w:r>
      <w:r w:rsidR="00AD665E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- 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>or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support others to provide</w:t>
      </w:r>
      <w:r w:rsidR="00AD665E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-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structured interventions, either one-to-one or in small groups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to develop children’s vocabulary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, 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>sentences and narrative skills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,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understanding,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inference, l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>istening and attention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, oral language </w:t>
      </w:r>
      <w:r w:rsidR="006D5EAD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and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phonological development. These skills underpin child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>ren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’s attainment across the curriculum, including but not limited to literacy.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Supporting communication </w:t>
      </w:r>
      <w:r w:rsidR="00C03B6C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skills can </w:t>
      </w:r>
      <w:r w:rsidR="003D42C2">
        <w:rPr>
          <w:rFonts w:ascii="Arial" w:hAnsi="Arial" w:cs="Arial"/>
          <w:color w:val="0B0C0C"/>
          <w:sz w:val="21"/>
          <w:szCs w:val="21"/>
          <w:shd w:val="clear" w:color="auto" w:fill="FFFFFF"/>
        </w:rPr>
        <w:t>also improve outcomes in behaviour and social and emotional development.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F653B" w:rsidRPr="00A25722" w14:paraId="58C47187" w14:textId="77777777" w:rsidTr="00AA344B">
        <w:tc>
          <w:tcPr>
            <w:tcW w:w="10060" w:type="dxa"/>
            <w:shd w:val="clear" w:color="auto" w:fill="D0E6F6" w:themeFill="accent2" w:themeFillTint="33"/>
          </w:tcPr>
          <w:p w14:paraId="48D61A86" w14:textId="5EBD0048" w:rsidR="001F653B" w:rsidRPr="00AA344B" w:rsidRDefault="00AA344B" w:rsidP="00AA344B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344B">
              <w:rPr>
                <w:rFonts w:ascii="Arial" w:hAnsi="Arial" w:cs="Arial"/>
                <w:i/>
                <w:iCs/>
              </w:rPr>
              <w:t>“Programmes are likely to have the greatest impact where they meet a specific need, such as oral language skills.” (E</w:t>
            </w:r>
            <w:r>
              <w:rPr>
                <w:rFonts w:ascii="Arial" w:hAnsi="Arial" w:cs="Arial"/>
                <w:i/>
                <w:iCs/>
              </w:rPr>
              <w:t xml:space="preserve">ducation Endowment Foundation, </w:t>
            </w:r>
            <w:r w:rsidRPr="00AA344B">
              <w:rPr>
                <w:rFonts w:ascii="Arial" w:hAnsi="Arial" w:cs="Arial"/>
                <w:i/>
                <w:iCs/>
              </w:rPr>
              <w:t>COVID-19 Support Guide for Schools)</w:t>
            </w:r>
          </w:p>
        </w:tc>
      </w:tr>
    </w:tbl>
    <w:p w14:paraId="67F16B7A" w14:textId="51C058F4" w:rsidR="00227DF8" w:rsidRPr="00A25722" w:rsidRDefault="00F819F6" w:rsidP="00E4396F">
      <w:pPr>
        <w:pStyle w:val="ListParagraph"/>
        <w:numPr>
          <w:ilvl w:val="0"/>
          <w:numId w:val="1"/>
        </w:numPr>
        <w:spacing w:before="160" w:after="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Supporting great teaching</w:t>
      </w:r>
    </w:p>
    <w:p w14:paraId="6DB92B8A" w14:textId="77777777" w:rsidR="00E74073" w:rsidRDefault="00F819F6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Speech and language therapists can provide professional development for teachers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or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teaching assistants to support quality first teaching in relation to oracy. Professional development can support whole school approaches to close the word gap for disadvantaged pupils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.</w:t>
      </w:r>
    </w:p>
    <w:p w14:paraId="473BAE0B" w14:textId="452669E4" w:rsidR="00F819F6" w:rsidRPr="00A25722" w:rsidRDefault="00F819F6" w:rsidP="00E4396F">
      <w:pPr>
        <w:pStyle w:val="ListParagraph"/>
        <w:numPr>
          <w:ilvl w:val="0"/>
          <w:numId w:val="1"/>
        </w:numPr>
        <w:spacing w:before="160" w:after="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Pupil assessment</w:t>
      </w:r>
    </w:p>
    <w:p w14:paraId="5790C831" w14:textId="78770C6B" w:rsidR="001F653B" w:rsidRPr="00A25722" w:rsidRDefault="004E3C99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Speech and language therapists can </w:t>
      </w:r>
      <w:r w:rsidR="00BD2C61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undertake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assessment</w:t>
      </w:r>
      <w:r w:rsidR="00BD2C61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 of pupils’ speech, language and communication skills and provide teachers with recommendations on how to most effectively 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support </w:t>
      </w:r>
      <w:r w:rsidR="00BD2C61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them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in the classroom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.</w:t>
      </w:r>
      <w:r w:rsidR="001F653B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This can include identifying areas where pupils are likely to require additional support upon transition.</w:t>
      </w:r>
    </w:p>
    <w:p w14:paraId="685CE4BA" w14:textId="77777777" w:rsidR="00F819F6" w:rsidRPr="00A25722" w:rsidRDefault="00F819F6" w:rsidP="00E4396F">
      <w:pPr>
        <w:pStyle w:val="ListParagraph"/>
        <w:numPr>
          <w:ilvl w:val="0"/>
          <w:numId w:val="1"/>
        </w:numPr>
        <w:spacing w:before="160" w:after="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Supporting parents and carers</w:t>
      </w:r>
    </w:p>
    <w:p w14:paraId="4EBFA71C" w14:textId="582B662A" w:rsidR="001F653B" w:rsidRPr="00A25722" w:rsidRDefault="001F653B" w:rsidP="00C03B6C">
      <w:pPr>
        <w:spacing w:after="12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>Speech and language therapists can provide advice, support and resources to families over the holidays - for example, offering advice about effective strategies</w:t>
      </w:r>
      <w:r w:rsidR="00A25722"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and activities parents and carers can use</w:t>
      </w:r>
      <w:r w:rsidRPr="00A25722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to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develop the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h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ome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l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>earning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 e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nvironment. </w:t>
      </w:r>
    </w:p>
    <w:p w14:paraId="297ABA76" w14:textId="0A0C6497" w:rsidR="00F819F6" w:rsidRDefault="00F819F6" w:rsidP="00E4396F">
      <w:pPr>
        <w:pStyle w:val="ListParagraph"/>
        <w:numPr>
          <w:ilvl w:val="0"/>
          <w:numId w:val="1"/>
        </w:numPr>
        <w:spacing w:before="160" w:after="0"/>
        <w:ind w:left="714" w:hanging="357"/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</w:pPr>
      <w:r w:rsidRP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 xml:space="preserve">Supporting pupils with </w:t>
      </w:r>
      <w:r w:rsidR="00A25722">
        <w:rPr>
          <w:rFonts w:ascii="Arial" w:hAnsi="Arial" w:cs="Arial"/>
          <w:b/>
          <w:color w:val="0B0C0C"/>
          <w:sz w:val="21"/>
          <w:szCs w:val="21"/>
          <w:shd w:val="clear" w:color="auto" w:fill="FFFFFF"/>
        </w:rPr>
        <w:t>special educational needs and disabilities (SEND)</w:t>
      </w:r>
    </w:p>
    <w:p w14:paraId="644FF9D0" w14:textId="7F511FB0" w:rsidR="00227DF8" w:rsidRPr="00A25722" w:rsidRDefault="00A25722" w:rsidP="00AD665E">
      <w:pPr>
        <w:spacing w:after="240"/>
        <w:rPr>
          <w:rFonts w:ascii="Arial" w:hAnsi="Arial" w:cs="Arial"/>
          <w:color w:val="0B0C0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Many pupils with SEND may have 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speech language and communication needs that may have worsened during the pandemic. Speech and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l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anguage </w:t>
      </w:r>
      <w:r w:rsidR="00E74073">
        <w:rPr>
          <w:rFonts w:ascii="Arial" w:hAnsi="Arial" w:cs="Arial"/>
          <w:color w:val="0B0C0C"/>
          <w:sz w:val="21"/>
          <w:szCs w:val="21"/>
          <w:shd w:val="clear" w:color="auto" w:fill="FFFFFF"/>
        </w:rPr>
        <w:t>t</w:t>
      </w:r>
      <w:r w:rsidR="00D61FBB">
        <w:rPr>
          <w:rFonts w:ascii="Arial" w:hAnsi="Arial" w:cs="Arial"/>
          <w:color w:val="0B0C0C"/>
          <w:sz w:val="21"/>
          <w:szCs w:val="21"/>
          <w:shd w:val="clear" w:color="auto" w:fill="FFFFFF"/>
        </w:rPr>
        <w:t xml:space="preserve">herapists can help you address this. </w:t>
      </w:r>
    </w:p>
    <w:tbl>
      <w:tblPr>
        <w:tblStyle w:val="TableGrid"/>
        <w:tblW w:w="10060" w:type="dxa"/>
        <w:shd w:val="clear" w:color="auto" w:fill="D0E6F6" w:themeFill="accent2" w:themeFillTint="33"/>
        <w:tblLook w:val="04A0" w:firstRow="1" w:lastRow="0" w:firstColumn="1" w:lastColumn="0" w:noHBand="0" w:noVBand="1"/>
      </w:tblPr>
      <w:tblGrid>
        <w:gridCol w:w="10060"/>
      </w:tblGrid>
      <w:tr w:rsidR="001F653B" w:rsidRPr="00AA344B" w14:paraId="17BC8FFD" w14:textId="77777777" w:rsidTr="00AA344B">
        <w:tc>
          <w:tcPr>
            <w:tcW w:w="10060" w:type="dxa"/>
            <w:shd w:val="clear" w:color="auto" w:fill="D0E6F6" w:themeFill="accent2" w:themeFillTint="33"/>
          </w:tcPr>
          <w:p w14:paraId="6DBB6BA3" w14:textId="77777777" w:rsidR="00AA344B" w:rsidRDefault="001F653B" w:rsidP="00AA344B">
            <w:pPr>
              <w:spacing w:before="120" w:after="120"/>
              <w:rPr>
                <w:rFonts w:ascii="Arial" w:hAnsi="Arial" w:cs="Arial"/>
              </w:rPr>
            </w:pPr>
            <w:r w:rsidRPr="00AA344B">
              <w:rPr>
                <w:rFonts w:ascii="Arial" w:hAnsi="Arial" w:cs="Arial"/>
                <w:b/>
                <w:bCs/>
              </w:rPr>
              <w:t xml:space="preserve">To discuss how your local speech and language therapist or service can support you, </w:t>
            </w:r>
            <w:r w:rsidR="00AA344B">
              <w:rPr>
                <w:rFonts w:ascii="Arial" w:hAnsi="Arial" w:cs="Arial"/>
                <w:b/>
                <w:bCs/>
              </w:rPr>
              <w:t xml:space="preserve">please </w:t>
            </w:r>
            <w:r w:rsidRPr="00AA344B">
              <w:rPr>
                <w:rFonts w:ascii="Arial" w:hAnsi="Arial" w:cs="Arial"/>
                <w:b/>
                <w:bCs/>
              </w:rPr>
              <w:t>contact:</w:t>
            </w:r>
            <w:r w:rsidRPr="00AA344B">
              <w:rPr>
                <w:rFonts w:ascii="Arial" w:hAnsi="Arial" w:cs="Arial"/>
              </w:rPr>
              <w:t xml:space="preserve"> </w:t>
            </w:r>
          </w:p>
          <w:p w14:paraId="6B2F7C33" w14:textId="0E7D087D" w:rsidR="00AD665E" w:rsidRPr="00AA344B" w:rsidRDefault="00AD665E" w:rsidP="00AA344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7ECA046" w14:textId="77777777" w:rsidR="00227DF8" w:rsidRPr="00A25722" w:rsidRDefault="00227DF8">
      <w:pPr>
        <w:rPr>
          <w:b/>
          <w:sz w:val="21"/>
          <w:szCs w:val="21"/>
        </w:rPr>
      </w:pPr>
    </w:p>
    <w:sectPr w:rsidR="00227DF8" w:rsidRPr="00A25722" w:rsidSect="006209DF">
      <w:pgSz w:w="11906" w:h="16838"/>
      <w:pgMar w:top="680" w:right="851" w:bottom="68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D6AE" w14:textId="77777777" w:rsidR="00870031" w:rsidRDefault="00870031" w:rsidP="00870031">
      <w:pPr>
        <w:spacing w:after="0" w:line="240" w:lineRule="auto"/>
      </w:pPr>
      <w:r>
        <w:separator/>
      </w:r>
    </w:p>
  </w:endnote>
  <w:endnote w:type="continuationSeparator" w:id="0">
    <w:p w14:paraId="10D93C68" w14:textId="77777777" w:rsidR="00870031" w:rsidRDefault="00870031" w:rsidP="008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7C95" w14:textId="77777777" w:rsidR="00870031" w:rsidRDefault="00870031" w:rsidP="00870031">
      <w:pPr>
        <w:spacing w:after="0" w:line="240" w:lineRule="auto"/>
      </w:pPr>
      <w:r>
        <w:separator/>
      </w:r>
    </w:p>
  </w:footnote>
  <w:footnote w:type="continuationSeparator" w:id="0">
    <w:p w14:paraId="53C6A461" w14:textId="77777777" w:rsidR="00870031" w:rsidRDefault="00870031" w:rsidP="0087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944EE"/>
    <w:multiLevelType w:val="hybridMultilevel"/>
    <w:tmpl w:val="E2AC7764"/>
    <w:lvl w:ilvl="0" w:tplc="C55CCF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5B7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BF"/>
    <w:rsid w:val="001F653B"/>
    <w:rsid w:val="00227DF8"/>
    <w:rsid w:val="002F7BBF"/>
    <w:rsid w:val="0039206E"/>
    <w:rsid w:val="003D42C2"/>
    <w:rsid w:val="00453172"/>
    <w:rsid w:val="004E3C99"/>
    <w:rsid w:val="00532C6F"/>
    <w:rsid w:val="00570658"/>
    <w:rsid w:val="006209DF"/>
    <w:rsid w:val="006D5EAD"/>
    <w:rsid w:val="008601C0"/>
    <w:rsid w:val="00870031"/>
    <w:rsid w:val="00955B2C"/>
    <w:rsid w:val="00A25722"/>
    <w:rsid w:val="00A5290D"/>
    <w:rsid w:val="00AA344B"/>
    <w:rsid w:val="00AB5E76"/>
    <w:rsid w:val="00AD665E"/>
    <w:rsid w:val="00BD2C61"/>
    <w:rsid w:val="00C03B6C"/>
    <w:rsid w:val="00C261A7"/>
    <w:rsid w:val="00D61FBB"/>
    <w:rsid w:val="00E4396F"/>
    <w:rsid w:val="00E74073"/>
    <w:rsid w:val="00F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BF5E"/>
  <w15:docId w15:val="{3D70B359-A84B-4262-BA89-176B101F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BB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DF8"/>
    <w:rPr>
      <w:color w:val="B26B0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19F6"/>
    <w:pPr>
      <w:ind w:left="720"/>
      <w:contextualSpacing/>
    </w:pPr>
  </w:style>
  <w:style w:type="table" w:styleId="TableGrid">
    <w:name w:val="Table Grid"/>
    <w:basedOn w:val="TableNormal"/>
    <w:uiPriority w:val="59"/>
    <w:rsid w:val="001F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31"/>
  </w:style>
  <w:style w:type="paragraph" w:styleId="Footer">
    <w:name w:val="footer"/>
    <w:basedOn w:val="Normal"/>
    <w:link w:val="FooterChar"/>
    <w:uiPriority w:val="99"/>
    <w:unhideWhenUsed/>
    <w:rsid w:val="00870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31"/>
  </w:style>
  <w:style w:type="character" w:styleId="UnresolvedMention">
    <w:name w:val="Unresolved Mention"/>
    <w:basedOn w:val="DefaultParagraphFont"/>
    <w:uiPriority w:val="99"/>
    <w:semiHidden/>
    <w:unhideWhenUsed/>
    <w:rsid w:val="00620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pupil-premium/pupil-premi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cationendowmentfoundation.org.uk/public/files/Publications/Covid-19_Resources/Covid-19_support_guide_for_school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168189-E87A-4687-B12E-1DC6E42FA8A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Wright</dc:creator>
  <cp:lastModifiedBy>Caroline Wright</cp:lastModifiedBy>
  <cp:revision>5</cp:revision>
  <dcterms:created xsi:type="dcterms:W3CDTF">2021-03-31T08:50:00Z</dcterms:created>
  <dcterms:modified xsi:type="dcterms:W3CDTF">2021-03-31T10:23:00Z</dcterms:modified>
</cp:coreProperties>
</file>