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D0084" w14:textId="4D17E1AE" w:rsidR="00F40440" w:rsidRDefault="00F40440" w:rsidP="00F40440">
      <w:pPr>
        <w:spacing w:after="7" w:line="252" w:lineRule="auto"/>
        <w:ind w:left="10" w:right="73" w:hanging="10"/>
        <w:jc w:val="center"/>
        <w:rPr>
          <w:rFonts w:asciiTheme="minorHAnsi" w:hAnsiTheme="minorHAnsi" w:cstheme="minorHAnsi"/>
        </w:rPr>
      </w:pPr>
      <w:r>
        <w:rPr>
          <w:noProof/>
        </w:rPr>
        <w:drawing>
          <wp:anchor distT="0" distB="0" distL="114300" distR="114300" simplePos="0" relativeHeight="251659264" behindDoc="0" locked="0" layoutInCell="1" allowOverlap="1" wp14:anchorId="2839A448" wp14:editId="4660305A">
            <wp:simplePos x="0" y="0"/>
            <wp:positionH relativeFrom="column">
              <wp:posOffset>0</wp:posOffset>
            </wp:positionH>
            <wp:positionV relativeFrom="paragraph">
              <wp:posOffset>0</wp:posOffset>
            </wp:positionV>
            <wp:extent cx="876935" cy="95821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876935" cy="958215"/>
                    </a:xfrm>
                    <a:prstGeom prst="rect">
                      <a:avLst/>
                    </a:prstGeom>
                  </pic:spPr>
                </pic:pic>
              </a:graphicData>
            </a:graphic>
          </wp:anchor>
        </w:drawing>
      </w:r>
    </w:p>
    <w:p w14:paraId="1FA998A7" w14:textId="77777777" w:rsidR="00F40440" w:rsidRDefault="00F40440" w:rsidP="00F40440">
      <w:pPr>
        <w:spacing w:after="7" w:line="252" w:lineRule="auto"/>
        <w:ind w:left="10" w:right="73" w:hanging="10"/>
        <w:jc w:val="center"/>
        <w:rPr>
          <w:rFonts w:asciiTheme="minorHAnsi" w:hAnsiTheme="minorHAnsi" w:cstheme="minorHAnsi"/>
        </w:rPr>
      </w:pPr>
    </w:p>
    <w:p w14:paraId="48520A32" w14:textId="77777777" w:rsidR="00F40440" w:rsidRDefault="00F40440" w:rsidP="00F40440">
      <w:pPr>
        <w:spacing w:after="7" w:line="252" w:lineRule="auto"/>
        <w:ind w:left="10" w:right="73" w:hanging="10"/>
        <w:jc w:val="center"/>
        <w:rPr>
          <w:rFonts w:asciiTheme="minorHAnsi" w:hAnsiTheme="minorHAnsi" w:cstheme="minorHAnsi"/>
        </w:rPr>
      </w:pPr>
    </w:p>
    <w:p w14:paraId="0E5DFD9A" w14:textId="77777777" w:rsidR="00F40440" w:rsidRDefault="00F40440" w:rsidP="00F40440">
      <w:pPr>
        <w:spacing w:after="7" w:line="252" w:lineRule="auto"/>
        <w:ind w:left="10" w:right="73" w:hanging="10"/>
        <w:jc w:val="center"/>
        <w:rPr>
          <w:rFonts w:asciiTheme="minorHAnsi" w:hAnsiTheme="minorHAnsi" w:cstheme="minorHAnsi"/>
        </w:rPr>
      </w:pPr>
    </w:p>
    <w:p w14:paraId="46D6C3D4" w14:textId="77777777" w:rsidR="00F40440" w:rsidRDefault="00F40440" w:rsidP="00F40440">
      <w:pPr>
        <w:spacing w:after="7" w:line="252" w:lineRule="auto"/>
        <w:ind w:left="10" w:right="73" w:hanging="10"/>
        <w:jc w:val="center"/>
        <w:rPr>
          <w:rFonts w:asciiTheme="minorHAnsi" w:hAnsiTheme="minorHAnsi" w:cstheme="minorHAnsi"/>
        </w:rPr>
      </w:pPr>
    </w:p>
    <w:p w14:paraId="38236F69" w14:textId="77777777" w:rsidR="00F40440" w:rsidRPr="00D072A3" w:rsidRDefault="00F40440" w:rsidP="00F40440">
      <w:pPr>
        <w:spacing w:after="7" w:line="252" w:lineRule="auto"/>
        <w:ind w:left="10" w:right="73" w:hanging="10"/>
        <w:jc w:val="center"/>
        <w:rPr>
          <w:rFonts w:asciiTheme="minorHAnsi" w:hAnsiTheme="minorHAnsi" w:cstheme="minorHAnsi"/>
        </w:rPr>
      </w:pPr>
    </w:p>
    <w:p w14:paraId="195A5E54" w14:textId="6944CC0F" w:rsidR="006C307C" w:rsidRPr="006C307C" w:rsidRDefault="006C307C" w:rsidP="006C307C">
      <w:pPr>
        <w:pStyle w:val="Heading1"/>
        <w:pBdr>
          <w:top w:val="single" w:sz="4" w:space="1" w:color="auto"/>
          <w:left w:val="single" w:sz="4" w:space="4" w:color="auto"/>
          <w:bottom w:val="single" w:sz="4" w:space="1" w:color="auto"/>
          <w:right w:val="single" w:sz="4" w:space="4" w:color="auto"/>
        </w:pBdr>
        <w:spacing w:after="0" w:line="259" w:lineRule="auto"/>
        <w:ind w:left="370" w:firstLine="0"/>
        <w:jc w:val="center"/>
        <w:rPr>
          <w:rFonts w:asciiTheme="minorHAnsi" w:hAnsiTheme="minorHAnsi" w:cstheme="minorHAnsi"/>
        </w:rPr>
      </w:pPr>
      <w:r w:rsidRPr="006C307C">
        <w:t>RCSLT NI Ministerial Briefing</w:t>
      </w:r>
      <w:r w:rsidR="00F40440" w:rsidRPr="006C307C">
        <w:rPr>
          <w:rFonts w:asciiTheme="minorHAnsi" w:hAnsiTheme="minorHAnsi" w:cstheme="minorHAnsi"/>
        </w:rPr>
        <w:t>: The communication needs of young people in contact with the youth justice system</w:t>
      </w:r>
    </w:p>
    <w:p w14:paraId="67848460" w14:textId="0F553C69" w:rsidR="006C307C" w:rsidRDefault="006C307C" w:rsidP="006C307C"/>
    <w:p w14:paraId="53FB3D45" w14:textId="25B4D895" w:rsidR="006C307C" w:rsidRPr="006C307C" w:rsidRDefault="006C307C" w:rsidP="006C307C">
      <w:pPr>
        <w:jc w:val="right"/>
        <w:rPr>
          <w:b/>
          <w:bCs/>
        </w:rPr>
      </w:pPr>
      <w:r w:rsidRPr="006C307C">
        <w:rPr>
          <w:b/>
          <w:bCs/>
        </w:rPr>
        <w:t>February 2021</w:t>
      </w:r>
    </w:p>
    <w:p w14:paraId="416C323A" w14:textId="77777777" w:rsidR="00F40440" w:rsidRPr="00D072A3" w:rsidRDefault="00F40440" w:rsidP="00F40440">
      <w:pPr>
        <w:spacing w:after="12"/>
        <w:ind w:left="360"/>
        <w:rPr>
          <w:rFonts w:asciiTheme="minorHAnsi" w:hAnsiTheme="minorHAnsi" w:cstheme="minorHAnsi"/>
        </w:rPr>
      </w:pPr>
      <w:r w:rsidRPr="00D072A3">
        <w:rPr>
          <w:rFonts w:asciiTheme="minorHAnsi" w:hAnsiTheme="minorHAnsi" w:cstheme="minorHAnsi"/>
          <w:b/>
        </w:rPr>
        <w:t xml:space="preserve"> </w:t>
      </w:r>
    </w:p>
    <w:p w14:paraId="6ECFAF70" w14:textId="77777777" w:rsidR="00F40440" w:rsidRPr="00D072A3" w:rsidRDefault="00F40440" w:rsidP="00F40440">
      <w:pPr>
        <w:pStyle w:val="Heading2"/>
        <w:ind w:left="-5"/>
        <w:rPr>
          <w:rFonts w:asciiTheme="minorHAnsi" w:hAnsiTheme="minorHAnsi" w:cstheme="minorHAnsi"/>
        </w:rPr>
      </w:pPr>
      <w:r w:rsidRPr="00D072A3">
        <w:rPr>
          <w:rFonts w:asciiTheme="minorHAnsi" w:hAnsiTheme="minorHAnsi" w:cstheme="minorHAnsi"/>
        </w:rPr>
        <w:t>1.</w:t>
      </w:r>
      <w:r w:rsidRPr="00D072A3">
        <w:rPr>
          <w:rFonts w:asciiTheme="minorHAnsi" w:eastAsia="Arial" w:hAnsiTheme="minorHAnsi" w:cstheme="minorHAnsi"/>
        </w:rPr>
        <w:t xml:space="preserve"> </w:t>
      </w:r>
      <w:r w:rsidRPr="00D072A3">
        <w:rPr>
          <w:rFonts w:asciiTheme="minorHAnsi" w:hAnsiTheme="minorHAnsi" w:cstheme="minorHAnsi"/>
        </w:rPr>
        <w:t xml:space="preserve">The Royal College of Speech and Language Therapists </w:t>
      </w:r>
    </w:p>
    <w:p w14:paraId="308A49C2" w14:textId="77777777" w:rsidR="00F40440" w:rsidRPr="00D072A3" w:rsidRDefault="00F40440" w:rsidP="00F40440">
      <w:pPr>
        <w:spacing w:after="12"/>
        <w:ind w:left="793"/>
        <w:rPr>
          <w:rFonts w:asciiTheme="minorHAnsi" w:hAnsiTheme="minorHAnsi" w:cstheme="minorHAnsi"/>
        </w:rPr>
      </w:pPr>
      <w:r w:rsidRPr="00D072A3">
        <w:rPr>
          <w:rFonts w:asciiTheme="minorHAnsi" w:hAnsiTheme="minorHAnsi" w:cstheme="minorHAnsi"/>
        </w:rPr>
        <w:t xml:space="preserve"> </w:t>
      </w:r>
    </w:p>
    <w:p w14:paraId="443C6ADF" w14:textId="77777777" w:rsidR="00F40440" w:rsidRPr="00D072A3" w:rsidRDefault="00F40440" w:rsidP="00F40440">
      <w:pPr>
        <w:spacing w:after="3" w:line="248" w:lineRule="auto"/>
        <w:ind w:left="778" w:right="41" w:hanging="433"/>
        <w:rPr>
          <w:rFonts w:asciiTheme="minorHAnsi" w:hAnsiTheme="minorHAnsi" w:cstheme="minorHAnsi"/>
        </w:rPr>
      </w:pPr>
      <w:r w:rsidRPr="00D072A3">
        <w:rPr>
          <w:rFonts w:asciiTheme="minorHAnsi" w:hAnsiTheme="minorHAnsi" w:cstheme="minorHAnsi"/>
          <w:b/>
        </w:rPr>
        <w:t>1.1.</w:t>
      </w:r>
      <w:r w:rsidRPr="00D072A3">
        <w:rPr>
          <w:rFonts w:asciiTheme="minorHAnsi" w:eastAsia="Arial" w:hAnsiTheme="minorHAnsi" w:cstheme="minorHAnsi"/>
          <w:b/>
        </w:rPr>
        <w:t xml:space="preserve"> </w:t>
      </w:r>
      <w:r w:rsidRPr="00D072A3">
        <w:rPr>
          <w:rFonts w:asciiTheme="minorHAnsi" w:hAnsiTheme="minorHAnsi" w:cstheme="minorHAnsi"/>
        </w:rPr>
        <w:t xml:space="preserve">The Royal College of Speech and Language Therapists (RCSLT) is the professional body for speech and language therapists (SLTs), students and support workers working in the UK.  The RCSLT has over 18,000 members (around 700 in Northern Ireland), including almost 95% of the speech and language therapists working in the UK.  We promote excellence in practice and influence health, education, employment, social care and justice policies. </w:t>
      </w:r>
    </w:p>
    <w:p w14:paraId="5CDCCD38" w14:textId="77777777" w:rsidR="00F40440" w:rsidRPr="00D072A3" w:rsidRDefault="00F40440" w:rsidP="00F40440">
      <w:pPr>
        <w:spacing w:after="12"/>
        <w:ind w:left="793"/>
        <w:rPr>
          <w:rFonts w:asciiTheme="minorHAnsi" w:hAnsiTheme="minorHAnsi" w:cstheme="minorHAnsi"/>
        </w:rPr>
      </w:pPr>
      <w:r w:rsidRPr="00D072A3">
        <w:rPr>
          <w:rFonts w:asciiTheme="minorHAnsi" w:hAnsiTheme="minorHAnsi" w:cstheme="minorHAnsi"/>
        </w:rPr>
        <w:t xml:space="preserve"> </w:t>
      </w:r>
    </w:p>
    <w:p w14:paraId="1DB9BFE0" w14:textId="77777777" w:rsidR="00F40440" w:rsidRPr="00D072A3" w:rsidRDefault="00F40440" w:rsidP="00F40440">
      <w:pPr>
        <w:spacing w:after="3" w:line="248" w:lineRule="auto"/>
        <w:ind w:left="778" w:right="41" w:hanging="433"/>
        <w:rPr>
          <w:rFonts w:asciiTheme="minorHAnsi" w:hAnsiTheme="minorHAnsi" w:cstheme="minorHAnsi"/>
        </w:rPr>
      </w:pPr>
      <w:r w:rsidRPr="00D072A3">
        <w:rPr>
          <w:rFonts w:asciiTheme="minorHAnsi" w:hAnsiTheme="minorHAnsi" w:cstheme="minorHAnsi"/>
          <w:b/>
        </w:rPr>
        <w:t>1.2.</w:t>
      </w:r>
      <w:r w:rsidRPr="00D072A3">
        <w:rPr>
          <w:rFonts w:asciiTheme="minorHAnsi" w:eastAsia="Arial" w:hAnsiTheme="minorHAnsi" w:cstheme="minorHAnsi"/>
          <w:b/>
        </w:rPr>
        <w:t xml:space="preserve"> </w:t>
      </w:r>
      <w:r w:rsidRPr="00D072A3">
        <w:rPr>
          <w:rFonts w:asciiTheme="minorHAnsi" w:hAnsiTheme="minorHAnsi" w:cstheme="minorHAnsi"/>
        </w:rPr>
        <w:t xml:space="preserve">Speech and language therapists have a major role in working directly with children, young people and adults, as well as supporting and training other professionals in working with speech, language and communication needs (SLCN).   </w:t>
      </w:r>
    </w:p>
    <w:p w14:paraId="7A02C8BE" w14:textId="77777777" w:rsidR="00F40440" w:rsidRPr="00D072A3" w:rsidRDefault="00F40440" w:rsidP="00F40440">
      <w:pPr>
        <w:spacing w:after="12"/>
        <w:ind w:left="793"/>
        <w:rPr>
          <w:rFonts w:asciiTheme="minorHAnsi" w:hAnsiTheme="minorHAnsi" w:cstheme="minorHAnsi"/>
        </w:rPr>
      </w:pPr>
      <w:r w:rsidRPr="00D072A3">
        <w:rPr>
          <w:rFonts w:asciiTheme="minorHAnsi" w:hAnsiTheme="minorHAnsi" w:cstheme="minorHAnsi"/>
        </w:rPr>
        <w:t xml:space="preserve"> </w:t>
      </w:r>
    </w:p>
    <w:p w14:paraId="57DC0F18" w14:textId="77777777" w:rsidR="00F40440" w:rsidRPr="00D072A3" w:rsidRDefault="00F40440" w:rsidP="00F40440">
      <w:pPr>
        <w:spacing w:after="3" w:line="248" w:lineRule="auto"/>
        <w:ind w:left="778" w:right="41" w:hanging="433"/>
        <w:rPr>
          <w:rFonts w:asciiTheme="minorHAnsi" w:hAnsiTheme="minorHAnsi" w:cstheme="minorHAnsi"/>
        </w:rPr>
      </w:pPr>
      <w:r w:rsidRPr="00D072A3">
        <w:rPr>
          <w:rFonts w:asciiTheme="minorHAnsi" w:hAnsiTheme="minorHAnsi" w:cstheme="minorHAnsi"/>
          <w:b/>
        </w:rPr>
        <w:t>1.3.</w:t>
      </w:r>
      <w:r w:rsidRPr="00D072A3">
        <w:rPr>
          <w:rFonts w:asciiTheme="minorHAnsi" w:eastAsia="Arial" w:hAnsiTheme="minorHAnsi" w:cstheme="minorHAnsi"/>
          <w:b/>
        </w:rPr>
        <w:t xml:space="preserve"> </w:t>
      </w:r>
      <w:r w:rsidRPr="00D072A3">
        <w:rPr>
          <w:rFonts w:asciiTheme="minorHAnsi" w:hAnsiTheme="minorHAnsi" w:cstheme="minorHAnsi"/>
        </w:rPr>
        <w:t>The RCSLT NI has been calling for greater identification and support for SLCN among children, young people and adults within the criminal justice system in NI. Our previous work in this area includes responses to: ‘NI Probation Board Corporate Plan’ (2019), ‘Improving Health Outcomes in Criminal Justice’ (2016), the ‘Youth Justice Review’ (2013) and the report ‘Locked up and Locked Out: Communication is the Key’ in partnership with the Youth Justice Agency (2011)</w:t>
      </w:r>
      <w:r w:rsidRPr="00D072A3">
        <w:rPr>
          <w:rFonts w:asciiTheme="minorHAnsi" w:hAnsiTheme="minorHAnsi" w:cstheme="minorHAnsi"/>
          <w:vertAlign w:val="superscript"/>
        </w:rPr>
        <w:footnoteReference w:id="1"/>
      </w:r>
      <w:r w:rsidRPr="00D072A3">
        <w:rPr>
          <w:rFonts w:asciiTheme="minorHAnsi" w:hAnsiTheme="minorHAnsi" w:cstheme="minorHAnsi"/>
        </w:rPr>
        <w:t xml:space="preserve">.  </w:t>
      </w:r>
    </w:p>
    <w:p w14:paraId="303BDF1D" w14:textId="77777777" w:rsidR="00F40440" w:rsidRPr="00D072A3" w:rsidRDefault="00F40440" w:rsidP="00F40440">
      <w:pPr>
        <w:spacing w:after="12"/>
        <w:ind w:left="793"/>
        <w:rPr>
          <w:rFonts w:asciiTheme="minorHAnsi" w:hAnsiTheme="minorHAnsi" w:cstheme="minorHAnsi"/>
        </w:rPr>
      </w:pPr>
      <w:r w:rsidRPr="00D072A3">
        <w:rPr>
          <w:rFonts w:asciiTheme="minorHAnsi" w:hAnsiTheme="minorHAnsi" w:cstheme="minorHAnsi"/>
        </w:rPr>
        <w:t xml:space="preserve"> </w:t>
      </w:r>
    </w:p>
    <w:p w14:paraId="03EB3BBF" w14:textId="77777777" w:rsidR="00F40440" w:rsidRPr="00D072A3" w:rsidRDefault="00F40440" w:rsidP="00F40440">
      <w:pPr>
        <w:spacing w:after="3" w:line="248" w:lineRule="auto"/>
        <w:ind w:left="355" w:right="41" w:hanging="10"/>
        <w:rPr>
          <w:rFonts w:asciiTheme="minorHAnsi" w:hAnsiTheme="minorHAnsi" w:cstheme="minorHAnsi"/>
        </w:rPr>
      </w:pPr>
      <w:r w:rsidRPr="00D072A3">
        <w:rPr>
          <w:rFonts w:asciiTheme="minorHAnsi" w:hAnsiTheme="minorHAnsi" w:cstheme="minorHAnsi"/>
          <w:b/>
        </w:rPr>
        <w:t>1.4.</w:t>
      </w:r>
      <w:r w:rsidRPr="00D072A3">
        <w:rPr>
          <w:rFonts w:asciiTheme="minorHAnsi" w:eastAsia="Arial" w:hAnsiTheme="minorHAnsi" w:cstheme="minorHAnsi"/>
          <w:b/>
        </w:rPr>
        <w:t xml:space="preserve"> </w:t>
      </w:r>
      <w:r w:rsidRPr="00D072A3">
        <w:rPr>
          <w:rFonts w:asciiTheme="minorHAnsi" w:hAnsiTheme="minorHAnsi" w:cstheme="minorHAnsi"/>
        </w:rPr>
        <w:t xml:space="preserve">The RCSLT Criminal Justice and Secure Settings Clinical Excellence Network is a network of </w:t>
      </w:r>
    </w:p>
    <w:p w14:paraId="725FCA8D" w14:textId="77777777" w:rsidR="00F40440" w:rsidRPr="00D072A3" w:rsidRDefault="00F40440" w:rsidP="00F40440">
      <w:pPr>
        <w:spacing w:after="3" w:line="248" w:lineRule="auto"/>
        <w:ind w:left="803" w:right="41" w:hanging="10"/>
        <w:rPr>
          <w:rFonts w:asciiTheme="minorHAnsi" w:hAnsiTheme="minorHAnsi" w:cstheme="minorHAnsi"/>
        </w:rPr>
      </w:pPr>
      <w:r w:rsidRPr="00D072A3">
        <w:rPr>
          <w:rFonts w:asciiTheme="minorHAnsi" w:hAnsiTheme="minorHAnsi" w:cstheme="minorHAnsi"/>
        </w:rPr>
        <w:t xml:space="preserve">SLTs working in the field of justice across the UK. In 2017 the RCSLT published a dossier, ‘Justice Evidence Base: Consolidation 2017’, which is a comprehensive evidence base examining speech and language therapy research and professional practice relating to SLCN and offenders.   </w:t>
      </w:r>
    </w:p>
    <w:p w14:paraId="5FEA7DF4" w14:textId="77777777" w:rsidR="00F40440" w:rsidRPr="00D072A3" w:rsidRDefault="00F40440" w:rsidP="00F40440">
      <w:pPr>
        <w:spacing w:after="24"/>
        <w:ind w:left="793"/>
        <w:rPr>
          <w:rFonts w:asciiTheme="minorHAnsi" w:hAnsiTheme="minorHAnsi" w:cstheme="minorHAnsi"/>
        </w:rPr>
      </w:pPr>
      <w:r w:rsidRPr="00D072A3">
        <w:rPr>
          <w:rFonts w:asciiTheme="minorHAnsi" w:hAnsiTheme="minorHAnsi" w:cstheme="minorHAnsi"/>
        </w:rPr>
        <w:t xml:space="preserve"> </w:t>
      </w:r>
    </w:p>
    <w:p w14:paraId="41EEE7DC" w14:textId="77777777" w:rsidR="00F40440" w:rsidRPr="00D072A3" w:rsidRDefault="00F40440" w:rsidP="00F40440">
      <w:pPr>
        <w:spacing w:after="0" w:line="240" w:lineRule="auto"/>
        <w:ind w:left="793" w:right="129" w:hanging="433"/>
        <w:jc w:val="both"/>
        <w:rPr>
          <w:rFonts w:asciiTheme="minorHAnsi" w:hAnsiTheme="minorHAnsi" w:cstheme="minorHAnsi"/>
        </w:rPr>
      </w:pPr>
      <w:r w:rsidRPr="00D072A3">
        <w:rPr>
          <w:rFonts w:asciiTheme="minorHAnsi" w:hAnsiTheme="minorHAnsi" w:cstheme="minorHAnsi"/>
          <w:b/>
        </w:rPr>
        <w:t>1.5.</w:t>
      </w:r>
      <w:r w:rsidRPr="00D072A3">
        <w:rPr>
          <w:rFonts w:asciiTheme="minorHAnsi" w:eastAsia="Arial" w:hAnsiTheme="minorHAnsi" w:cstheme="minorHAnsi"/>
          <w:b/>
        </w:rPr>
        <w:t xml:space="preserve"> </w:t>
      </w:r>
      <w:r w:rsidRPr="00D072A3">
        <w:rPr>
          <w:rFonts w:asciiTheme="minorHAnsi" w:hAnsiTheme="minorHAnsi" w:cstheme="minorHAnsi"/>
        </w:rPr>
        <w:t>As part of its UK-wide work in this area, the RCSLT has developed The Box - a free eLearning package designed for the justice system across the UK to help support people with SLCN</w:t>
      </w:r>
      <w:r>
        <w:rPr>
          <w:rStyle w:val="FootnoteReference"/>
          <w:rFonts w:asciiTheme="minorHAnsi" w:hAnsiTheme="minorHAnsi" w:cstheme="minorHAnsi"/>
        </w:rPr>
        <w:footnoteReference w:id="2"/>
      </w:r>
      <w:r w:rsidRPr="00D072A3">
        <w:rPr>
          <w:rFonts w:asciiTheme="minorHAnsi" w:hAnsiTheme="minorHAnsi" w:cstheme="minorHAnsi"/>
        </w:rPr>
        <w:t xml:space="preserve">. The Box enables communication barriers to be broken down, saving time, frustration and money, and, most importantly, improving outcomes for people with SLCN. It is relevant to those working in youth-offending teams, probation officers, prison staff, the police and other professionals in the courts system; including judges, barristers, and solicitors.  </w:t>
      </w:r>
    </w:p>
    <w:p w14:paraId="0541C42F" w14:textId="77777777" w:rsidR="00F40440" w:rsidRPr="00D072A3" w:rsidRDefault="00F40440" w:rsidP="00F40440">
      <w:pPr>
        <w:spacing w:after="12"/>
        <w:ind w:left="360"/>
        <w:rPr>
          <w:rFonts w:asciiTheme="minorHAnsi" w:hAnsiTheme="minorHAnsi" w:cstheme="minorHAnsi"/>
        </w:rPr>
      </w:pPr>
      <w:r w:rsidRPr="00D072A3">
        <w:rPr>
          <w:rFonts w:asciiTheme="minorHAnsi" w:hAnsiTheme="minorHAnsi" w:cstheme="minorHAnsi"/>
        </w:rPr>
        <w:t xml:space="preserve"> </w:t>
      </w:r>
    </w:p>
    <w:p w14:paraId="470FE9B5" w14:textId="77777777" w:rsidR="00F40440" w:rsidRPr="00D072A3" w:rsidRDefault="00F40440" w:rsidP="00F40440">
      <w:pPr>
        <w:pStyle w:val="Heading2"/>
        <w:ind w:left="-5"/>
        <w:rPr>
          <w:rFonts w:asciiTheme="minorHAnsi" w:hAnsiTheme="minorHAnsi" w:cstheme="minorHAnsi"/>
        </w:rPr>
      </w:pPr>
      <w:r w:rsidRPr="00D072A3">
        <w:rPr>
          <w:rFonts w:asciiTheme="minorHAnsi" w:hAnsiTheme="minorHAnsi" w:cstheme="minorHAnsi"/>
        </w:rPr>
        <w:lastRenderedPageBreak/>
        <w:t>2.</w:t>
      </w:r>
      <w:r w:rsidRPr="00D072A3">
        <w:rPr>
          <w:rFonts w:asciiTheme="minorHAnsi" w:eastAsia="Arial" w:hAnsiTheme="minorHAnsi" w:cstheme="minorHAnsi"/>
        </w:rPr>
        <w:t xml:space="preserve"> </w:t>
      </w:r>
      <w:r w:rsidRPr="00D072A3">
        <w:rPr>
          <w:rFonts w:asciiTheme="minorHAnsi" w:hAnsiTheme="minorHAnsi" w:cstheme="minorHAnsi"/>
        </w:rPr>
        <w:t xml:space="preserve">Prevalence of SLCN in the youth justice system in NI </w:t>
      </w:r>
    </w:p>
    <w:p w14:paraId="4885AC28" w14:textId="77777777" w:rsidR="00F40440" w:rsidRPr="00D072A3" w:rsidRDefault="00F40440" w:rsidP="00F40440">
      <w:pPr>
        <w:spacing w:after="12"/>
        <w:ind w:left="793"/>
        <w:rPr>
          <w:rFonts w:asciiTheme="minorHAnsi" w:hAnsiTheme="minorHAnsi" w:cstheme="minorHAnsi"/>
        </w:rPr>
      </w:pPr>
      <w:r w:rsidRPr="00D072A3">
        <w:rPr>
          <w:rFonts w:asciiTheme="minorHAnsi" w:hAnsiTheme="minorHAnsi" w:cstheme="minorHAnsi"/>
          <w:b/>
        </w:rPr>
        <w:t xml:space="preserve"> </w:t>
      </w:r>
    </w:p>
    <w:p w14:paraId="4B2A477B" w14:textId="77777777" w:rsidR="00F40440" w:rsidRDefault="00F40440" w:rsidP="00F40440">
      <w:pPr>
        <w:spacing w:after="3" w:line="248" w:lineRule="auto"/>
        <w:ind w:left="778" w:right="41" w:hanging="433"/>
        <w:rPr>
          <w:rFonts w:asciiTheme="minorHAnsi" w:hAnsiTheme="minorHAnsi" w:cstheme="minorHAnsi"/>
        </w:rPr>
      </w:pPr>
      <w:r w:rsidRPr="00D072A3">
        <w:rPr>
          <w:rFonts w:asciiTheme="minorHAnsi" w:hAnsiTheme="minorHAnsi" w:cstheme="minorHAnsi"/>
          <w:b/>
        </w:rPr>
        <w:t>2.1.</w:t>
      </w:r>
      <w:r w:rsidRPr="00D072A3">
        <w:rPr>
          <w:rFonts w:asciiTheme="minorHAnsi" w:eastAsia="Arial" w:hAnsiTheme="minorHAnsi" w:cstheme="minorHAnsi"/>
          <w:b/>
        </w:rPr>
        <w:t xml:space="preserve"> </w:t>
      </w:r>
      <w:r w:rsidRPr="00D072A3">
        <w:rPr>
          <w:rFonts w:asciiTheme="minorHAnsi" w:hAnsiTheme="minorHAnsi" w:cstheme="minorHAnsi"/>
        </w:rPr>
        <w:t xml:space="preserve">Research shows up to 60% of </w:t>
      </w:r>
      <w:r>
        <w:rPr>
          <w:rFonts w:asciiTheme="minorHAnsi" w:hAnsiTheme="minorHAnsi" w:cstheme="minorHAnsi"/>
        </w:rPr>
        <w:t>young people who offend</w:t>
      </w:r>
      <w:r w:rsidRPr="00D072A3">
        <w:rPr>
          <w:rFonts w:asciiTheme="minorHAnsi" w:hAnsiTheme="minorHAnsi" w:cstheme="minorHAnsi"/>
        </w:rPr>
        <w:t xml:space="preserve"> have low language skills, with 46-47% of these being in the poor or very poor range</w:t>
      </w:r>
      <w:r w:rsidRPr="00D072A3">
        <w:rPr>
          <w:rFonts w:asciiTheme="minorHAnsi" w:hAnsiTheme="minorHAnsi" w:cstheme="minorHAnsi"/>
          <w:vertAlign w:val="superscript"/>
        </w:rPr>
        <w:footnoteReference w:id="3"/>
      </w:r>
      <w:r w:rsidRPr="00D072A3">
        <w:rPr>
          <w:rFonts w:asciiTheme="minorHAnsi" w:hAnsiTheme="minorHAnsi" w:cstheme="minorHAnsi"/>
        </w:rPr>
        <w:t xml:space="preserve">.  Many of these young people have grown up </w:t>
      </w:r>
      <w:r>
        <w:rPr>
          <w:rFonts w:asciiTheme="minorHAnsi" w:hAnsiTheme="minorHAnsi" w:cstheme="minorHAnsi"/>
        </w:rPr>
        <w:t>with experience of</w:t>
      </w:r>
      <w:r w:rsidRPr="00D072A3">
        <w:rPr>
          <w:rFonts w:asciiTheme="minorHAnsi" w:hAnsiTheme="minorHAnsi" w:cstheme="minorHAnsi"/>
        </w:rPr>
        <w:t xml:space="preserve"> multiple adverse childhood experiences including deprivation</w:t>
      </w:r>
      <w:r>
        <w:rPr>
          <w:rFonts w:asciiTheme="minorHAnsi" w:hAnsiTheme="minorHAnsi" w:cstheme="minorHAnsi"/>
        </w:rPr>
        <w:t xml:space="preserve"> and poverty</w:t>
      </w:r>
      <w:r w:rsidRPr="00D072A3">
        <w:rPr>
          <w:rFonts w:asciiTheme="minorHAnsi" w:hAnsiTheme="minorHAnsi" w:cstheme="minorHAnsi"/>
        </w:rPr>
        <w:t xml:space="preserve">, trauma, neglect, </w:t>
      </w:r>
      <w:r>
        <w:rPr>
          <w:rFonts w:asciiTheme="minorHAnsi" w:hAnsiTheme="minorHAnsi" w:cstheme="minorHAnsi"/>
        </w:rPr>
        <w:t xml:space="preserve">abuse, </w:t>
      </w:r>
      <w:r w:rsidRPr="00D072A3">
        <w:rPr>
          <w:rFonts w:asciiTheme="minorHAnsi" w:hAnsiTheme="minorHAnsi" w:cstheme="minorHAnsi"/>
        </w:rPr>
        <w:t xml:space="preserve">and many </w:t>
      </w:r>
      <w:r>
        <w:rPr>
          <w:rFonts w:asciiTheme="minorHAnsi" w:hAnsiTheme="minorHAnsi" w:cstheme="minorHAnsi"/>
        </w:rPr>
        <w:t>are</w:t>
      </w:r>
      <w:r w:rsidRPr="00D072A3">
        <w:rPr>
          <w:rFonts w:asciiTheme="minorHAnsi" w:hAnsiTheme="minorHAnsi" w:cstheme="minorHAnsi"/>
        </w:rPr>
        <w:t xml:space="preserve"> care experienced or looked after children.</w:t>
      </w:r>
    </w:p>
    <w:p w14:paraId="3005286E" w14:textId="77777777" w:rsidR="00F40440" w:rsidRDefault="00F40440" w:rsidP="00F40440">
      <w:pPr>
        <w:spacing w:after="3" w:line="248" w:lineRule="auto"/>
        <w:ind w:left="778" w:right="41" w:hanging="433"/>
        <w:rPr>
          <w:rFonts w:asciiTheme="minorHAnsi" w:hAnsiTheme="minorHAnsi" w:cstheme="minorHAnsi"/>
        </w:rPr>
      </w:pPr>
    </w:p>
    <w:p w14:paraId="50ECC945" w14:textId="77777777" w:rsidR="00F40440" w:rsidRPr="00063F36" w:rsidRDefault="00F40440" w:rsidP="00F40440">
      <w:pPr>
        <w:spacing w:after="3" w:line="248" w:lineRule="auto"/>
        <w:ind w:left="778" w:right="41" w:hanging="433"/>
      </w:pPr>
      <w:r>
        <w:rPr>
          <w:rFonts w:asciiTheme="minorHAnsi" w:hAnsiTheme="minorHAnsi" w:cstheme="minorHAnsi"/>
        </w:rPr>
        <w:t>2.2</w:t>
      </w:r>
      <w:r>
        <w:rPr>
          <w:rFonts w:asciiTheme="minorHAnsi" w:hAnsiTheme="minorHAnsi" w:cstheme="minorHAnsi"/>
        </w:rPr>
        <w:tab/>
        <w:t>As highlighted in the consultation document, children who are looked after have a much higher rate of involvement with the Juvenile Justice Centre than the general population</w:t>
      </w:r>
      <w:r>
        <w:rPr>
          <w:rStyle w:val="FootnoteReference"/>
          <w:rFonts w:asciiTheme="minorHAnsi" w:hAnsiTheme="minorHAnsi" w:cstheme="minorHAnsi"/>
        </w:rPr>
        <w:footnoteReference w:id="4"/>
      </w:r>
      <w:r>
        <w:rPr>
          <w:rFonts w:asciiTheme="minorHAnsi" w:hAnsiTheme="minorHAnsi" w:cstheme="minorHAnsi"/>
        </w:rPr>
        <w:t xml:space="preserve">, and as the below research demonstrates these children are much more likely to have </w:t>
      </w:r>
      <w:r>
        <w:t xml:space="preserve">communication and language difficulties.  </w:t>
      </w:r>
    </w:p>
    <w:p w14:paraId="26F23695" w14:textId="77777777" w:rsidR="00F40440" w:rsidRPr="00800CF6" w:rsidRDefault="00F40440" w:rsidP="00F40440">
      <w:pPr>
        <w:spacing w:after="3" w:line="248" w:lineRule="auto"/>
        <w:ind w:left="778" w:right="41" w:hanging="433"/>
        <w:rPr>
          <w:rFonts w:eastAsia="Times New Roman" w:cs="Arial"/>
          <w:sz w:val="20"/>
          <w:szCs w:val="20"/>
          <w:lang w:val="en"/>
        </w:rPr>
      </w:pPr>
      <w:r w:rsidRPr="00D072A3">
        <w:rPr>
          <w:rFonts w:asciiTheme="minorHAnsi" w:hAnsiTheme="minorHAnsi" w:cstheme="minorHAnsi"/>
          <w:b/>
        </w:rPr>
        <w:t xml:space="preserve"> </w:t>
      </w:r>
    </w:p>
    <w:p w14:paraId="3524B5CA" w14:textId="77777777" w:rsidR="00F40440" w:rsidRPr="00800CF6" w:rsidRDefault="00F40440" w:rsidP="00F40440">
      <w:pPr>
        <w:pBdr>
          <w:top w:val="single" w:sz="4" w:space="1" w:color="auto"/>
          <w:left w:val="single" w:sz="4" w:space="4" w:color="auto"/>
          <w:bottom w:val="single" w:sz="4" w:space="1" w:color="auto"/>
          <w:right w:val="single" w:sz="4" w:space="4" w:color="auto"/>
        </w:pBdr>
        <w:shd w:val="clear" w:color="auto" w:fill="FFFFFF"/>
        <w:spacing w:after="0" w:line="240" w:lineRule="auto"/>
        <w:ind w:left="360"/>
        <w:jc w:val="center"/>
        <w:outlineLvl w:val="2"/>
        <w:rPr>
          <w:rFonts w:eastAsia="Times New Roman" w:cs="Arial"/>
          <w:b/>
          <w:sz w:val="20"/>
          <w:szCs w:val="20"/>
          <w:lang w:val="en"/>
        </w:rPr>
      </w:pPr>
      <w:r w:rsidRPr="00800CF6">
        <w:rPr>
          <w:rFonts w:eastAsia="Times New Roman" w:cs="Arial"/>
          <w:b/>
          <w:sz w:val="20"/>
          <w:szCs w:val="20"/>
          <w:lang w:val="en"/>
        </w:rPr>
        <w:t>Prevalence of SLCN amongst looked-after children</w:t>
      </w:r>
    </w:p>
    <w:p w14:paraId="5C5EE10B" w14:textId="77777777" w:rsidR="00F40440" w:rsidRPr="00063F36" w:rsidRDefault="00F40440" w:rsidP="00F4044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FFFFF"/>
        <w:contextualSpacing/>
        <w:outlineLvl w:val="2"/>
        <w:rPr>
          <w:rFonts w:asciiTheme="minorHAnsi" w:eastAsia="Times New Roman" w:hAnsiTheme="minorHAnsi" w:cs="Arial"/>
          <w:color w:val="000000"/>
          <w:lang w:val="en" w:eastAsia="en-GB"/>
        </w:rPr>
      </w:pPr>
      <w:r w:rsidRPr="00063F36">
        <w:rPr>
          <w:rFonts w:asciiTheme="minorHAnsi" w:eastAsia="Times New Roman" w:hAnsiTheme="minorHAnsi" w:cs="Arial"/>
          <w:color w:val="000000"/>
          <w:lang w:val="en" w:eastAsia="en-GB"/>
        </w:rPr>
        <w:t>A study published in the International Journal of Language and Communication Disorders in 2011 found high levels of communication impairment amongst children and young people in residential care. Much of it was severe and pervasive, and largely previously unidentified.</w:t>
      </w:r>
      <w:r w:rsidRPr="00063F36">
        <w:rPr>
          <w:rStyle w:val="FootnoteReference"/>
          <w:rFonts w:asciiTheme="minorHAnsi" w:eastAsia="Times New Roman" w:hAnsiTheme="minorHAnsi" w:cs="Arial"/>
          <w:color w:val="000000"/>
          <w:lang w:val="en" w:eastAsia="en-GB"/>
        </w:rPr>
        <w:t xml:space="preserve"> </w:t>
      </w:r>
      <w:r w:rsidRPr="00063F36">
        <w:rPr>
          <w:rStyle w:val="EndnoteReference"/>
          <w:rFonts w:asciiTheme="minorHAnsi" w:eastAsia="Times New Roman" w:hAnsiTheme="minorHAnsi" w:cs="Arial"/>
          <w:color w:val="000000"/>
          <w:lang w:val="en" w:eastAsia="en-GB"/>
        </w:rPr>
        <w:endnoteReference w:id="1"/>
      </w:r>
    </w:p>
    <w:p w14:paraId="3EEC5AF5" w14:textId="77777777" w:rsidR="00F40440" w:rsidRPr="00063F36" w:rsidRDefault="00F40440" w:rsidP="00F4044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FFFFF"/>
        <w:contextualSpacing/>
        <w:outlineLvl w:val="2"/>
        <w:rPr>
          <w:rFonts w:asciiTheme="minorHAnsi" w:eastAsia="Times New Roman" w:hAnsiTheme="minorHAnsi" w:cs="Arial"/>
          <w:color w:val="000000"/>
          <w:lang w:val="en" w:eastAsia="en-GB"/>
        </w:rPr>
      </w:pPr>
      <w:r w:rsidRPr="00063F36">
        <w:rPr>
          <w:rFonts w:asciiTheme="minorHAnsi" w:eastAsia="Times New Roman" w:hAnsiTheme="minorHAnsi" w:cs="Arial"/>
          <w:color w:val="000000"/>
          <w:lang w:val="en" w:eastAsia="en-GB"/>
        </w:rPr>
        <w:t>An Office of National Statistics review of the health needs of looked after children found that speech, language and communication needs were the second most frequently reported difficulty for looked after children.</w:t>
      </w:r>
      <w:r w:rsidRPr="00063F36">
        <w:rPr>
          <w:rStyle w:val="EndnoteReference"/>
          <w:rFonts w:asciiTheme="minorHAnsi" w:eastAsia="Times New Roman" w:hAnsiTheme="minorHAnsi" w:cs="Arial"/>
          <w:color w:val="000000"/>
          <w:lang w:val="en" w:eastAsia="en-GB"/>
        </w:rPr>
        <w:endnoteReference w:id="2"/>
      </w:r>
    </w:p>
    <w:p w14:paraId="0C6A3B6E" w14:textId="77777777" w:rsidR="00F40440" w:rsidRPr="00063F36" w:rsidRDefault="00F40440" w:rsidP="00F4044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FFFFF"/>
        <w:contextualSpacing/>
        <w:outlineLvl w:val="2"/>
        <w:rPr>
          <w:rFonts w:asciiTheme="minorHAnsi" w:eastAsia="Times New Roman" w:hAnsiTheme="minorHAnsi" w:cs="Arial"/>
          <w:color w:val="000000"/>
          <w:lang w:val="en" w:eastAsia="en-GB"/>
        </w:rPr>
      </w:pPr>
      <w:r w:rsidRPr="00063F36">
        <w:rPr>
          <w:rFonts w:asciiTheme="minorHAnsi" w:eastAsia="Times New Roman" w:hAnsiTheme="minorHAnsi" w:cs="Arial"/>
          <w:color w:val="000000"/>
          <w:lang w:val="en" w:eastAsia="en-GB"/>
        </w:rPr>
        <w:t>No Wrong Door, the service for looked after children in North Yorkshire, found 62% of its looked after children had communication needs. Only two of the children had previously seen a speech and language therapist (SLT).</w:t>
      </w:r>
      <w:r w:rsidRPr="00063F36">
        <w:rPr>
          <w:rStyle w:val="EndnoteReference"/>
          <w:rFonts w:asciiTheme="minorHAnsi" w:eastAsia="Times New Roman" w:hAnsiTheme="minorHAnsi" w:cs="Arial"/>
          <w:color w:val="000000"/>
          <w:lang w:val="en" w:eastAsia="en-GB"/>
        </w:rPr>
        <w:endnoteReference w:id="3"/>
      </w:r>
    </w:p>
    <w:p w14:paraId="627696F1" w14:textId="77777777" w:rsidR="00F40440" w:rsidRPr="00CC6C50" w:rsidRDefault="00F40440" w:rsidP="00F4044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FFFFF"/>
        <w:contextualSpacing/>
        <w:outlineLvl w:val="2"/>
        <w:rPr>
          <w:rFonts w:asciiTheme="minorHAnsi" w:eastAsia="Times New Roman" w:hAnsiTheme="minorHAnsi" w:cs="Arial"/>
          <w:b/>
          <w:color w:val="000000"/>
          <w:lang w:val="en" w:eastAsia="en-GB"/>
        </w:rPr>
      </w:pPr>
      <w:r w:rsidRPr="00CC6C50">
        <w:rPr>
          <w:rFonts w:asciiTheme="minorHAnsi" w:hAnsiTheme="minorHAnsi" w:cs="Arial"/>
          <w:b/>
          <w:color w:val="141412"/>
          <w:shd w:val="clear" w:color="auto" w:fill="FFFFFF"/>
        </w:rPr>
        <w:t>A screening of 39 children in residential settings in the Western Trust (2020) found 75% of children have speech, language and communication needs – of these, none were open to core services and only 2 of these were previously referred to services</w:t>
      </w:r>
      <w:r w:rsidRPr="00CC6C50">
        <w:rPr>
          <w:rStyle w:val="EndnoteReference"/>
          <w:rFonts w:asciiTheme="minorHAnsi" w:hAnsiTheme="minorHAnsi" w:cs="Arial"/>
          <w:b/>
          <w:color w:val="141412"/>
          <w:shd w:val="clear" w:color="auto" w:fill="FFFFFF"/>
        </w:rPr>
        <w:endnoteReference w:id="4"/>
      </w:r>
      <w:r w:rsidRPr="00CC6C50">
        <w:rPr>
          <w:rFonts w:asciiTheme="minorHAnsi" w:hAnsiTheme="minorHAnsi" w:cs="Arial"/>
          <w:b/>
          <w:color w:val="141412"/>
          <w:shd w:val="clear" w:color="auto" w:fill="FFFFFF"/>
        </w:rPr>
        <w:t xml:space="preserve">. </w:t>
      </w:r>
    </w:p>
    <w:p w14:paraId="7A898D4A" w14:textId="77777777" w:rsidR="00F40440" w:rsidRPr="00800CF6" w:rsidRDefault="00F40440" w:rsidP="00F40440">
      <w:pPr>
        <w:shd w:val="clear" w:color="auto" w:fill="FFFFFF"/>
        <w:spacing w:after="0" w:line="240" w:lineRule="auto"/>
        <w:outlineLvl w:val="2"/>
        <w:rPr>
          <w:rFonts w:eastAsia="Times New Roman" w:cs="Arial"/>
          <w:sz w:val="20"/>
          <w:szCs w:val="20"/>
          <w:lang w:val="en"/>
        </w:rPr>
      </w:pPr>
    </w:p>
    <w:p w14:paraId="09FE45C0" w14:textId="77777777" w:rsidR="00F40440" w:rsidRPr="00D072A3" w:rsidRDefault="00F40440" w:rsidP="00F40440">
      <w:pPr>
        <w:spacing w:after="3" w:line="248" w:lineRule="auto"/>
        <w:ind w:left="778" w:right="41" w:hanging="433"/>
        <w:rPr>
          <w:rFonts w:asciiTheme="minorHAnsi" w:hAnsiTheme="minorHAnsi" w:cstheme="minorHAnsi"/>
        </w:rPr>
      </w:pPr>
    </w:p>
    <w:p w14:paraId="7AC67F95" w14:textId="77777777" w:rsidR="00F40440" w:rsidRPr="00D072A3" w:rsidRDefault="00F40440" w:rsidP="00F40440">
      <w:pPr>
        <w:spacing w:after="3" w:line="248" w:lineRule="auto"/>
        <w:ind w:left="778" w:right="41" w:hanging="433"/>
        <w:rPr>
          <w:rFonts w:asciiTheme="minorHAnsi" w:hAnsiTheme="minorHAnsi" w:cstheme="minorHAnsi"/>
          <w:b/>
        </w:rPr>
      </w:pPr>
      <w:r w:rsidRPr="00D072A3">
        <w:rPr>
          <w:rFonts w:asciiTheme="minorHAnsi" w:hAnsiTheme="minorHAnsi" w:cstheme="minorHAnsi"/>
          <w:b/>
        </w:rPr>
        <w:t>2.3.</w:t>
      </w:r>
      <w:r w:rsidRPr="00D072A3">
        <w:rPr>
          <w:rFonts w:asciiTheme="minorHAnsi" w:eastAsia="Arial" w:hAnsiTheme="minorHAnsi" w:cstheme="minorHAnsi"/>
          <w:b/>
        </w:rPr>
        <w:t xml:space="preserve"> </w:t>
      </w:r>
      <w:r>
        <w:rPr>
          <w:rFonts w:asciiTheme="minorHAnsi" w:eastAsia="Arial" w:hAnsiTheme="minorHAnsi" w:cstheme="minorHAnsi"/>
          <w:b/>
        </w:rPr>
        <w:tab/>
        <w:t>As outlined in t</w:t>
      </w:r>
      <w:r w:rsidRPr="00D072A3">
        <w:rPr>
          <w:rFonts w:asciiTheme="minorHAnsi" w:hAnsiTheme="minorHAnsi" w:cstheme="minorHAnsi"/>
        </w:rPr>
        <w:t>he 2019 ‘Improving healthcare in criminal Justice Strategy’, the RCSLT and YJA study in the Lisburn area (2012)</w:t>
      </w:r>
      <w:r w:rsidRPr="00D072A3">
        <w:rPr>
          <w:rFonts w:asciiTheme="minorHAnsi" w:hAnsiTheme="minorHAnsi" w:cstheme="minorHAnsi"/>
          <w:vertAlign w:val="superscript"/>
        </w:rPr>
        <w:footnoteReference w:id="5"/>
      </w:r>
      <w:r w:rsidRPr="00D072A3">
        <w:rPr>
          <w:rFonts w:asciiTheme="minorHAnsi" w:hAnsiTheme="minorHAnsi" w:cstheme="minorHAnsi"/>
        </w:rPr>
        <w:t xml:space="preserve"> carried out 147 screening assessments in six months and found  54% of  young people had some  communication needs (79 clients). Of those, 78% could probably have had their needs met by a suitably trained CJS professional and 22% probably needed a specialist SLT (17 clients). </w:t>
      </w:r>
      <w:r w:rsidRPr="00D072A3">
        <w:rPr>
          <w:rFonts w:asciiTheme="minorHAnsi" w:hAnsiTheme="minorHAnsi" w:cstheme="minorHAnsi"/>
          <w:b/>
        </w:rPr>
        <w:t xml:space="preserve"> </w:t>
      </w:r>
    </w:p>
    <w:p w14:paraId="2C19771C" w14:textId="77777777" w:rsidR="00F40440" w:rsidRPr="00D072A3" w:rsidRDefault="00F40440" w:rsidP="00F40440">
      <w:pPr>
        <w:spacing w:after="3" w:line="248" w:lineRule="auto"/>
        <w:ind w:left="778" w:right="41" w:hanging="433"/>
        <w:rPr>
          <w:rFonts w:asciiTheme="minorHAnsi" w:hAnsiTheme="minorHAnsi" w:cstheme="minorHAnsi"/>
          <w:b/>
        </w:rPr>
      </w:pPr>
    </w:p>
    <w:p w14:paraId="67FB29F0" w14:textId="77777777" w:rsidR="00F40440" w:rsidRPr="00D072A3" w:rsidRDefault="00F40440" w:rsidP="00F40440">
      <w:pPr>
        <w:spacing w:after="3" w:line="248" w:lineRule="auto"/>
        <w:ind w:left="778" w:right="41" w:hanging="433"/>
        <w:rPr>
          <w:rFonts w:asciiTheme="minorHAnsi" w:hAnsiTheme="minorHAnsi" w:cstheme="minorHAnsi"/>
          <w:b/>
        </w:rPr>
      </w:pPr>
      <w:r w:rsidRPr="00D072A3">
        <w:rPr>
          <w:rFonts w:asciiTheme="minorHAnsi" w:hAnsiTheme="minorHAnsi" w:cstheme="minorHAnsi"/>
          <w:b/>
        </w:rPr>
        <w:t>2.4</w:t>
      </w:r>
      <w:r w:rsidRPr="00D072A3">
        <w:rPr>
          <w:rFonts w:asciiTheme="minorHAnsi" w:hAnsiTheme="minorHAnsi" w:cstheme="minorHAnsi"/>
          <w:b/>
        </w:rPr>
        <w:tab/>
      </w:r>
      <w:r w:rsidRPr="00D072A3">
        <w:rPr>
          <w:rFonts w:asciiTheme="minorHAnsi" w:hAnsiTheme="minorHAnsi" w:cstheme="minorHAnsi"/>
        </w:rPr>
        <w:t>There is also now substantial evidence through the evaluation of the Registered Intermediary scheme in Northern Ireland that significant numbers of individuals</w:t>
      </w:r>
      <w:r>
        <w:rPr>
          <w:rFonts w:asciiTheme="minorHAnsi" w:hAnsiTheme="minorHAnsi" w:cstheme="minorHAnsi"/>
        </w:rPr>
        <w:t>, including many children and young people,</w:t>
      </w:r>
      <w:r w:rsidRPr="00D072A3">
        <w:rPr>
          <w:rFonts w:asciiTheme="minorHAnsi" w:hAnsiTheme="minorHAnsi" w:cstheme="minorHAnsi"/>
        </w:rPr>
        <w:t xml:space="preserve"> in the justice system require support with their communication</w:t>
      </w:r>
      <w:r w:rsidRPr="00D072A3">
        <w:rPr>
          <w:rFonts w:asciiTheme="minorHAnsi" w:hAnsiTheme="minorHAnsi" w:cstheme="minorHAnsi"/>
          <w:vertAlign w:val="superscript"/>
        </w:rPr>
        <w:footnoteReference w:id="6"/>
      </w:r>
      <w:r>
        <w:rPr>
          <w:rFonts w:asciiTheme="minorHAnsi" w:hAnsiTheme="minorHAnsi" w:cstheme="minorHAnsi"/>
        </w:rPr>
        <w:t>,</w:t>
      </w:r>
      <w:r w:rsidRPr="00D072A3">
        <w:rPr>
          <w:rFonts w:asciiTheme="minorHAnsi" w:hAnsiTheme="minorHAnsi" w:cstheme="minorHAnsi"/>
          <w:vertAlign w:val="superscript"/>
        </w:rPr>
        <w:footnoteReference w:id="7"/>
      </w:r>
      <w:r>
        <w:rPr>
          <w:rFonts w:asciiTheme="minorHAnsi" w:hAnsiTheme="minorHAnsi" w:cstheme="minorHAnsi"/>
        </w:rPr>
        <w:t xml:space="preserve">. </w:t>
      </w:r>
    </w:p>
    <w:p w14:paraId="2984C1F1" w14:textId="77777777" w:rsidR="00F40440" w:rsidRPr="00D072A3" w:rsidRDefault="00F40440" w:rsidP="00F40440">
      <w:pPr>
        <w:spacing w:after="10"/>
        <w:ind w:left="793"/>
        <w:rPr>
          <w:rFonts w:asciiTheme="minorHAnsi" w:hAnsiTheme="minorHAnsi" w:cstheme="minorHAnsi"/>
        </w:rPr>
      </w:pPr>
      <w:r w:rsidRPr="00D072A3">
        <w:rPr>
          <w:rFonts w:asciiTheme="minorHAnsi" w:hAnsiTheme="minorHAnsi" w:cstheme="minorHAnsi"/>
          <w:b/>
        </w:rPr>
        <w:t xml:space="preserve"> </w:t>
      </w:r>
    </w:p>
    <w:p w14:paraId="651107A6" w14:textId="77777777" w:rsidR="00F40440" w:rsidRPr="0099521A" w:rsidRDefault="00F40440" w:rsidP="00F40440">
      <w:pPr>
        <w:spacing w:after="11"/>
        <w:ind w:left="360"/>
        <w:rPr>
          <w:rFonts w:asciiTheme="minorHAnsi" w:hAnsiTheme="minorHAnsi" w:cstheme="minorHAnsi"/>
          <w:b/>
          <w:bCs/>
        </w:rPr>
      </w:pPr>
      <w:r w:rsidRPr="0099521A">
        <w:rPr>
          <w:rFonts w:asciiTheme="minorHAnsi" w:hAnsiTheme="minorHAnsi" w:cstheme="minorHAnsi"/>
          <w:b/>
          <w:bCs/>
        </w:rPr>
        <w:t xml:space="preserve"> 3.</w:t>
      </w:r>
      <w:r w:rsidRPr="0099521A">
        <w:rPr>
          <w:rFonts w:asciiTheme="minorHAnsi" w:eastAsia="Arial" w:hAnsiTheme="minorHAnsi" w:cstheme="minorHAnsi"/>
          <w:b/>
          <w:bCs/>
        </w:rPr>
        <w:t xml:space="preserve"> </w:t>
      </w:r>
      <w:r w:rsidRPr="0099521A">
        <w:rPr>
          <w:rFonts w:asciiTheme="minorHAnsi" w:hAnsiTheme="minorHAnsi" w:cstheme="minorHAnsi"/>
          <w:b/>
          <w:bCs/>
        </w:rPr>
        <w:t xml:space="preserve">The impact of SLCN for children and young people in the criminal justice system  </w:t>
      </w:r>
    </w:p>
    <w:p w14:paraId="595F67FC" w14:textId="77777777" w:rsidR="00F40440" w:rsidRPr="00D072A3" w:rsidRDefault="00F40440" w:rsidP="00F40440">
      <w:pPr>
        <w:spacing w:after="12"/>
        <w:ind w:left="793"/>
        <w:rPr>
          <w:rFonts w:asciiTheme="minorHAnsi" w:hAnsiTheme="minorHAnsi" w:cstheme="minorHAnsi"/>
        </w:rPr>
      </w:pPr>
      <w:r w:rsidRPr="00D072A3">
        <w:rPr>
          <w:rFonts w:asciiTheme="minorHAnsi" w:hAnsiTheme="minorHAnsi" w:cstheme="minorHAnsi"/>
          <w:b/>
        </w:rPr>
        <w:t xml:space="preserve"> </w:t>
      </w:r>
    </w:p>
    <w:p w14:paraId="3C2511FA" w14:textId="77777777" w:rsidR="00F40440" w:rsidRPr="00D072A3" w:rsidRDefault="00F40440" w:rsidP="00F40440">
      <w:pPr>
        <w:spacing w:after="45" w:line="248" w:lineRule="auto"/>
        <w:ind w:left="355" w:right="41" w:hanging="10"/>
        <w:rPr>
          <w:rFonts w:asciiTheme="minorHAnsi" w:hAnsiTheme="minorHAnsi" w:cstheme="minorHAnsi"/>
        </w:rPr>
      </w:pPr>
      <w:r w:rsidRPr="00D072A3">
        <w:rPr>
          <w:rFonts w:asciiTheme="minorHAnsi" w:hAnsiTheme="minorHAnsi" w:cstheme="minorHAnsi"/>
          <w:b/>
        </w:rPr>
        <w:lastRenderedPageBreak/>
        <w:t>3.1.</w:t>
      </w:r>
      <w:r w:rsidRPr="00D072A3">
        <w:rPr>
          <w:rFonts w:asciiTheme="minorHAnsi" w:eastAsia="Arial" w:hAnsiTheme="minorHAnsi" w:cstheme="minorHAnsi"/>
          <w:b/>
        </w:rPr>
        <w:t xml:space="preserve"> </w:t>
      </w:r>
      <w:r w:rsidRPr="00D072A3">
        <w:rPr>
          <w:rFonts w:asciiTheme="minorHAnsi" w:hAnsiTheme="minorHAnsi" w:cstheme="minorHAnsi"/>
        </w:rPr>
        <w:t>Some of the types of SLCN experienced by individuals in the justice system include:</w:t>
      </w:r>
      <w:r w:rsidRPr="00D072A3">
        <w:rPr>
          <w:rFonts w:asciiTheme="minorHAnsi" w:hAnsiTheme="minorHAnsi" w:cstheme="minorHAnsi"/>
          <w:b/>
        </w:rPr>
        <w:t xml:space="preserve"> </w:t>
      </w:r>
    </w:p>
    <w:p w14:paraId="752F7F14" w14:textId="77777777" w:rsidR="00F40440" w:rsidRPr="00D072A3" w:rsidRDefault="00F40440" w:rsidP="00F40440">
      <w:pPr>
        <w:numPr>
          <w:ilvl w:val="0"/>
          <w:numId w:val="1"/>
        </w:numPr>
        <w:spacing w:after="26" w:line="250" w:lineRule="auto"/>
        <w:ind w:hanging="360"/>
        <w:rPr>
          <w:rFonts w:asciiTheme="minorHAnsi" w:hAnsiTheme="minorHAnsi" w:cstheme="minorHAnsi"/>
        </w:rPr>
      </w:pPr>
      <w:r w:rsidRPr="00D072A3">
        <w:rPr>
          <w:rFonts w:asciiTheme="minorHAnsi" w:hAnsiTheme="minorHAnsi" w:cstheme="minorHAnsi"/>
        </w:rPr>
        <w:t xml:space="preserve">Difficulty understanding spoken words and using language to communicate. </w:t>
      </w:r>
    </w:p>
    <w:p w14:paraId="3A2B2B9C" w14:textId="77777777" w:rsidR="00F40440" w:rsidRPr="00D072A3" w:rsidRDefault="00F40440" w:rsidP="00F40440">
      <w:pPr>
        <w:numPr>
          <w:ilvl w:val="0"/>
          <w:numId w:val="1"/>
        </w:numPr>
        <w:spacing w:after="26" w:line="250" w:lineRule="auto"/>
        <w:ind w:hanging="360"/>
        <w:rPr>
          <w:rFonts w:asciiTheme="minorHAnsi" w:hAnsiTheme="minorHAnsi" w:cstheme="minorHAnsi"/>
        </w:rPr>
      </w:pPr>
      <w:r w:rsidRPr="00D072A3">
        <w:rPr>
          <w:rFonts w:asciiTheme="minorHAnsi" w:hAnsiTheme="minorHAnsi" w:cstheme="minorHAnsi"/>
        </w:rPr>
        <w:t xml:space="preserve">Difficulties remembering and recalling information accurately.  </w:t>
      </w:r>
    </w:p>
    <w:p w14:paraId="2534D791" w14:textId="77777777" w:rsidR="00F40440" w:rsidRPr="00D072A3" w:rsidRDefault="00F40440" w:rsidP="00F40440">
      <w:pPr>
        <w:numPr>
          <w:ilvl w:val="0"/>
          <w:numId w:val="1"/>
        </w:numPr>
        <w:spacing w:after="26" w:line="250" w:lineRule="auto"/>
        <w:ind w:hanging="360"/>
        <w:rPr>
          <w:rFonts w:asciiTheme="minorHAnsi" w:hAnsiTheme="minorHAnsi" w:cstheme="minorHAnsi"/>
        </w:rPr>
      </w:pPr>
      <w:r w:rsidRPr="00D072A3">
        <w:rPr>
          <w:rFonts w:asciiTheme="minorHAnsi" w:hAnsiTheme="minorHAnsi" w:cstheme="minorHAnsi"/>
        </w:rPr>
        <w:t xml:space="preserve">Difficulty understanding commonly used legal vocabulary, for example Liable, Remorse, Reparation, Threatening or Victim. These difficulties have prevented effective access to the legal and court system.  </w:t>
      </w:r>
    </w:p>
    <w:p w14:paraId="773E8B9F" w14:textId="77777777" w:rsidR="00F40440" w:rsidRPr="00D072A3" w:rsidRDefault="00F40440" w:rsidP="00F40440">
      <w:pPr>
        <w:numPr>
          <w:ilvl w:val="0"/>
          <w:numId w:val="1"/>
        </w:numPr>
        <w:spacing w:after="26" w:line="250" w:lineRule="auto"/>
        <w:ind w:hanging="360"/>
        <w:rPr>
          <w:rFonts w:asciiTheme="minorHAnsi" w:hAnsiTheme="minorHAnsi" w:cstheme="minorHAnsi"/>
        </w:rPr>
      </w:pPr>
      <w:r w:rsidRPr="00D072A3">
        <w:rPr>
          <w:rFonts w:asciiTheme="minorHAnsi" w:hAnsiTheme="minorHAnsi" w:cstheme="minorHAnsi"/>
        </w:rPr>
        <w:t xml:space="preserve">Difficulties in listening and understanding  </w:t>
      </w:r>
    </w:p>
    <w:p w14:paraId="357F4A93" w14:textId="77777777" w:rsidR="00F40440" w:rsidRPr="00D072A3" w:rsidRDefault="00F40440" w:rsidP="00F40440">
      <w:pPr>
        <w:numPr>
          <w:ilvl w:val="0"/>
          <w:numId w:val="1"/>
        </w:numPr>
        <w:spacing w:after="26" w:line="250" w:lineRule="auto"/>
        <w:ind w:hanging="360"/>
        <w:rPr>
          <w:rFonts w:asciiTheme="minorHAnsi" w:hAnsiTheme="minorHAnsi" w:cstheme="minorHAnsi"/>
        </w:rPr>
      </w:pPr>
      <w:r w:rsidRPr="00D072A3">
        <w:rPr>
          <w:rFonts w:asciiTheme="minorHAnsi" w:hAnsiTheme="minorHAnsi" w:cstheme="minorHAnsi"/>
        </w:rPr>
        <w:t xml:space="preserve">Difficulties sequencing information to tell a story.  </w:t>
      </w:r>
    </w:p>
    <w:p w14:paraId="6F5CADF6" w14:textId="77777777" w:rsidR="00F40440" w:rsidRPr="00D072A3" w:rsidRDefault="00F40440" w:rsidP="00F40440">
      <w:pPr>
        <w:numPr>
          <w:ilvl w:val="0"/>
          <w:numId w:val="1"/>
        </w:numPr>
        <w:spacing w:after="26" w:line="250" w:lineRule="auto"/>
        <w:ind w:hanging="360"/>
        <w:rPr>
          <w:rFonts w:asciiTheme="minorHAnsi" w:hAnsiTheme="minorHAnsi" w:cstheme="minorHAnsi"/>
        </w:rPr>
      </w:pPr>
      <w:r w:rsidRPr="00D072A3">
        <w:rPr>
          <w:rFonts w:asciiTheme="minorHAnsi" w:hAnsiTheme="minorHAnsi" w:cstheme="minorHAnsi"/>
        </w:rPr>
        <w:t xml:space="preserve">Difficulty using abstract language (for example idioms, metaphors).  </w:t>
      </w:r>
    </w:p>
    <w:p w14:paraId="518A97EC" w14:textId="77777777" w:rsidR="00F40440" w:rsidRPr="00D072A3" w:rsidRDefault="00F40440" w:rsidP="00F40440">
      <w:pPr>
        <w:numPr>
          <w:ilvl w:val="0"/>
          <w:numId w:val="1"/>
        </w:numPr>
        <w:spacing w:after="26" w:line="250" w:lineRule="auto"/>
        <w:ind w:hanging="360"/>
        <w:rPr>
          <w:rFonts w:asciiTheme="minorHAnsi" w:hAnsiTheme="minorHAnsi" w:cstheme="minorHAnsi"/>
        </w:rPr>
      </w:pPr>
      <w:r w:rsidRPr="00D072A3">
        <w:rPr>
          <w:rFonts w:asciiTheme="minorHAnsi" w:hAnsiTheme="minorHAnsi" w:cstheme="minorHAnsi"/>
        </w:rPr>
        <w:t xml:space="preserve">Difficulties staying on topic.  </w:t>
      </w:r>
    </w:p>
    <w:p w14:paraId="4CF325C1" w14:textId="77777777" w:rsidR="00F40440" w:rsidRPr="00D072A3" w:rsidRDefault="00F40440" w:rsidP="00F40440">
      <w:pPr>
        <w:numPr>
          <w:ilvl w:val="0"/>
          <w:numId w:val="1"/>
        </w:numPr>
        <w:spacing w:after="26" w:line="250" w:lineRule="auto"/>
        <w:ind w:hanging="360"/>
        <w:rPr>
          <w:rFonts w:asciiTheme="minorHAnsi" w:hAnsiTheme="minorHAnsi" w:cstheme="minorHAnsi"/>
        </w:rPr>
      </w:pPr>
      <w:r w:rsidRPr="00D072A3">
        <w:rPr>
          <w:rFonts w:asciiTheme="minorHAnsi" w:hAnsiTheme="minorHAnsi" w:cstheme="minorHAnsi"/>
        </w:rPr>
        <w:t xml:space="preserve">Understanding non-verbal communication and relating to others in socially acceptable ways.  </w:t>
      </w:r>
    </w:p>
    <w:p w14:paraId="26FC41F8" w14:textId="77777777" w:rsidR="00F40440" w:rsidRPr="00D072A3" w:rsidRDefault="00F40440" w:rsidP="00F40440">
      <w:pPr>
        <w:numPr>
          <w:ilvl w:val="0"/>
          <w:numId w:val="1"/>
        </w:numPr>
        <w:spacing w:after="0" w:line="250" w:lineRule="auto"/>
        <w:ind w:hanging="360"/>
        <w:rPr>
          <w:rFonts w:asciiTheme="minorHAnsi" w:hAnsiTheme="minorHAnsi" w:cstheme="minorHAnsi"/>
        </w:rPr>
      </w:pPr>
      <w:r w:rsidRPr="00D072A3">
        <w:rPr>
          <w:rFonts w:asciiTheme="minorHAnsi" w:hAnsiTheme="minorHAnsi" w:cstheme="minorHAnsi"/>
        </w:rPr>
        <w:t xml:space="preserve">Difficulty expressing feelings and emotions in an appropriate way, for example they may use aggressive behaviour, instead of words, to express themselves. </w:t>
      </w:r>
    </w:p>
    <w:p w14:paraId="367B8D4D" w14:textId="77777777" w:rsidR="00F40440" w:rsidRPr="00D072A3" w:rsidRDefault="00F40440" w:rsidP="00F40440">
      <w:pPr>
        <w:spacing w:after="47"/>
        <w:ind w:left="1153"/>
        <w:rPr>
          <w:rFonts w:asciiTheme="minorHAnsi" w:hAnsiTheme="minorHAnsi" w:cstheme="minorHAnsi"/>
        </w:rPr>
      </w:pPr>
      <w:r w:rsidRPr="00D072A3">
        <w:rPr>
          <w:rFonts w:asciiTheme="minorHAnsi" w:hAnsiTheme="minorHAnsi" w:cstheme="minorHAnsi"/>
        </w:rPr>
        <w:t xml:space="preserve"> </w:t>
      </w:r>
    </w:p>
    <w:p w14:paraId="3CE8A461" w14:textId="77777777" w:rsidR="00F40440" w:rsidRPr="00D072A3" w:rsidRDefault="00F40440" w:rsidP="00F40440">
      <w:pPr>
        <w:numPr>
          <w:ilvl w:val="1"/>
          <w:numId w:val="2"/>
        </w:numPr>
        <w:spacing w:after="3" w:line="248" w:lineRule="auto"/>
        <w:ind w:hanging="433"/>
        <w:rPr>
          <w:rFonts w:asciiTheme="minorHAnsi" w:hAnsiTheme="minorHAnsi" w:cstheme="minorHAnsi"/>
        </w:rPr>
      </w:pPr>
      <w:r w:rsidRPr="00D072A3">
        <w:rPr>
          <w:rFonts w:asciiTheme="minorHAnsi" w:hAnsiTheme="minorHAnsi" w:cstheme="minorHAnsi"/>
        </w:rPr>
        <w:t xml:space="preserve">Communication difficulty and disability have a great impact upon every process within the legal and judicial system as there are huge demands placed on language throughout the justice system and these difficulties affect a person’s ability to fully participate at every stage of the CJS. </w:t>
      </w:r>
    </w:p>
    <w:p w14:paraId="43F6FC2C" w14:textId="77777777" w:rsidR="00F40440" w:rsidRPr="00D072A3" w:rsidRDefault="00F40440" w:rsidP="00F40440">
      <w:pPr>
        <w:spacing w:after="16"/>
        <w:ind w:left="793"/>
        <w:rPr>
          <w:rFonts w:asciiTheme="minorHAnsi" w:hAnsiTheme="minorHAnsi" w:cstheme="minorHAnsi"/>
        </w:rPr>
      </w:pPr>
      <w:r w:rsidRPr="00D072A3">
        <w:rPr>
          <w:rFonts w:asciiTheme="minorHAnsi" w:hAnsiTheme="minorHAnsi" w:cstheme="minorHAnsi"/>
        </w:rPr>
        <w:t xml:space="preserve"> </w:t>
      </w:r>
    </w:p>
    <w:p w14:paraId="75350324" w14:textId="77777777" w:rsidR="00F40440" w:rsidRPr="00D072A3" w:rsidRDefault="00F40440" w:rsidP="00F40440">
      <w:pPr>
        <w:numPr>
          <w:ilvl w:val="1"/>
          <w:numId w:val="2"/>
        </w:numPr>
        <w:spacing w:after="6" w:line="238" w:lineRule="auto"/>
        <w:ind w:hanging="433"/>
        <w:rPr>
          <w:rFonts w:asciiTheme="minorHAnsi" w:hAnsiTheme="minorHAnsi" w:cstheme="minorHAnsi"/>
        </w:rPr>
      </w:pPr>
      <w:r w:rsidRPr="00D072A3">
        <w:rPr>
          <w:rFonts w:asciiTheme="minorHAnsi" w:hAnsiTheme="minorHAnsi" w:cstheme="minorHAnsi"/>
        </w:rPr>
        <w:t xml:space="preserve">The implications for a young person with SLCN within the CJS can be profound. Young people with SLCN may not understand the terms of their sentence and what is required of them in their court order or under a licence agreement.  Evidence has showed that </w:t>
      </w:r>
    </w:p>
    <w:p w14:paraId="0DC67025" w14:textId="77777777" w:rsidR="00F40440" w:rsidRPr="00D072A3" w:rsidRDefault="00F40440" w:rsidP="00F40440">
      <w:pPr>
        <w:spacing w:after="6" w:line="238" w:lineRule="auto"/>
        <w:ind w:left="793"/>
        <w:rPr>
          <w:rFonts w:asciiTheme="minorHAnsi" w:hAnsiTheme="minorHAnsi" w:cstheme="minorHAnsi"/>
        </w:rPr>
      </w:pPr>
      <w:r w:rsidRPr="00D072A3">
        <w:rPr>
          <w:rFonts w:asciiTheme="minorHAnsi" w:hAnsiTheme="minorHAnsi" w:cstheme="minorHAnsi"/>
        </w:rPr>
        <w:t>one of the main reasons for breach of community licence is failure to meet the terms of that sentence due to a lack of understanding of the terms</w:t>
      </w:r>
      <w:r w:rsidRPr="00D072A3">
        <w:rPr>
          <w:rFonts w:asciiTheme="minorHAnsi" w:hAnsiTheme="minorHAnsi" w:cstheme="minorHAnsi"/>
          <w:vertAlign w:val="superscript"/>
        </w:rPr>
        <w:footnoteReference w:id="8"/>
      </w:r>
      <w:r w:rsidRPr="00D072A3">
        <w:rPr>
          <w:rFonts w:asciiTheme="minorHAnsi" w:hAnsiTheme="minorHAnsi" w:cstheme="minorHAnsi"/>
        </w:rPr>
        <w:t xml:space="preserve">.  </w:t>
      </w:r>
    </w:p>
    <w:p w14:paraId="10C8FCDB" w14:textId="77777777" w:rsidR="00F40440" w:rsidRPr="00D072A3" w:rsidRDefault="00F40440" w:rsidP="00F40440">
      <w:pPr>
        <w:spacing w:after="16"/>
        <w:ind w:left="793"/>
        <w:rPr>
          <w:rFonts w:asciiTheme="minorHAnsi" w:hAnsiTheme="minorHAnsi" w:cstheme="minorHAnsi"/>
        </w:rPr>
      </w:pPr>
      <w:r w:rsidRPr="00D072A3">
        <w:rPr>
          <w:rFonts w:asciiTheme="minorHAnsi" w:hAnsiTheme="minorHAnsi" w:cstheme="minorHAnsi"/>
        </w:rPr>
        <w:t xml:space="preserve"> </w:t>
      </w:r>
    </w:p>
    <w:p w14:paraId="099926FE" w14:textId="77777777" w:rsidR="00F40440" w:rsidRPr="00D072A3" w:rsidRDefault="00F40440" w:rsidP="00F40440">
      <w:pPr>
        <w:numPr>
          <w:ilvl w:val="1"/>
          <w:numId w:val="2"/>
        </w:numPr>
        <w:spacing w:after="6" w:line="238" w:lineRule="auto"/>
        <w:ind w:hanging="433"/>
        <w:rPr>
          <w:rFonts w:asciiTheme="minorHAnsi" w:hAnsiTheme="minorHAnsi" w:cstheme="minorHAnsi"/>
        </w:rPr>
      </w:pPr>
      <w:r w:rsidRPr="00D072A3">
        <w:rPr>
          <w:rFonts w:asciiTheme="minorHAnsi" w:hAnsiTheme="minorHAnsi" w:cstheme="minorHAnsi"/>
        </w:rPr>
        <w:t xml:space="preserve">Interventions to support rehabilitation can include education, counselling and those related to their offending behaviour (for example weapons awareness, substance misuse). The verbal context of such programmes often disadvantage young people with SLCN, making information and support difficult to access. It also means that the programmes are less likely to be successfully contributing to re-offending. </w:t>
      </w:r>
    </w:p>
    <w:p w14:paraId="5379920C" w14:textId="77777777" w:rsidR="00F40440" w:rsidRPr="00D072A3" w:rsidRDefault="00F40440" w:rsidP="00F40440">
      <w:pPr>
        <w:spacing w:after="27"/>
        <w:ind w:left="360"/>
        <w:rPr>
          <w:rFonts w:asciiTheme="minorHAnsi" w:hAnsiTheme="minorHAnsi" w:cstheme="minorHAnsi"/>
        </w:rPr>
      </w:pPr>
      <w:r w:rsidRPr="00D072A3">
        <w:rPr>
          <w:rFonts w:asciiTheme="minorHAnsi" w:hAnsiTheme="minorHAnsi" w:cstheme="minorHAnsi"/>
        </w:rPr>
        <w:t xml:space="preserve"> </w:t>
      </w:r>
    </w:p>
    <w:p w14:paraId="79E4C3E7" w14:textId="77777777" w:rsidR="00F40440" w:rsidRPr="00D072A3" w:rsidRDefault="00F40440" w:rsidP="00F40440">
      <w:pPr>
        <w:pStyle w:val="Heading2"/>
        <w:ind w:left="-5"/>
        <w:rPr>
          <w:rFonts w:asciiTheme="minorHAnsi" w:hAnsiTheme="minorHAnsi" w:cstheme="minorHAnsi"/>
        </w:rPr>
      </w:pPr>
      <w:r w:rsidRPr="00D072A3">
        <w:rPr>
          <w:rFonts w:asciiTheme="minorHAnsi" w:hAnsiTheme="minorHAnsi" w:cstheme="minorHAnsi"/>
        </w:rPr>
        <w:t>4.</w:t>
      </w:r>
      <w:r w:rsidRPr="00D072A3">
        <w:rPr>
          <w:rFonts w:asciiTheme="minorHAnsi" w:eastAsia="Arial" w:hAnsiTheme="minorHAnsi" w:cstheme="minorHAnsi"/>
        </w:rPr>
        <w:t xml:space="preserve"> </w:t>
      </w:r>
      <w:r w:rsidRPr="00D072A3">
        <w:rPr>
          <w:rFonts w:asciiTheme="minorHAnsi" w:hAnsiTheme="minorHAnsi" w:cstheme="minorHAnsi"/>
        </w:rPr>
        <w:t>The role of SLTs in the criminal justice system</w:t>
      </w:r>
      <w:r w:rsidRPr="00D072A3">
        <w:rPr>
          <w:rFonts w:asciiTheme="minorHAnsi" w:hAnsiTheme="minorHAnsi" w:cstheme="minorHAnsi"/>
          <w:b w:val="0"/>
        </w:rPr>
        <w:t xml:space="preserve"> </w:t>
      </w:r>
    </w:p>
    <w:p w14:paraId="583C642F" w14:textId="77777777" w:rsidR="00F40440" w:rsidRPr="00D072A3" w:rsidRDefault="00F40440" w:rsidP="00F40440">
      <w:pPr>
        <w:spacing w:after="27"/>
        <w:ind w:left="793"/>
        <w:rPr>
          <w:rFonts w:asciiTheme="minorHAnsi" w:hAnsiTheme="minorHAnsi" w:cstheme="minorHAnsi"/>
        </w:rPr>
      </w:pPr>
      <w:r w:rsidRPr="00D072A3">
        <w:rPr>
          <w:rFonts w:asciiTheme="minorHAnsi" w:hAnsiTheme="minorHAnsi" w:cstheme="minorHAnsi"/>
        </w:rPr>
        <w:t xml:space="preserve"> </w:t>
      </w:r>
    </w:p>
    <w:p w14:paraId="1FDC553D" w14:textId="77777777" w:rsidR="00F40440" w:rsidRPr="00D072A3" w:rsidRDefault="00F40440" w:rsidP="00F40440">
      <w:pPr>
        <w:spacing w:after="31" w:line="248" w:lineRule="auto"/>
        <w:ind w:left="778" w:right="41" w:hanging="433"/>
        <w:rPr>
          <w:rFonts w:asciiTheme="minorHAnsi" w:hAnsiTheme="minorHAnsi" w:cstheme="minorHAnsi"/>
        </w:rPr>
      </w:pPr>
      <w:r w:rsidRPr="00D072A3">
        <w:rPr>
          <w:rFonts w:asciiTheme="minorHAnsi" w:hAnsiTheme="minorHAnsi" w:cstheme="minorHAnsi"/>
          <w:b/>
        </w:rPr>
        <w:t>4.1.</w:t>
      </w:r>
      <w:r w:rsidRPr="00D072A3">
        <w:rPr>
          <w:rFonts w:asciiTheme="minorHAnsi" w:eastAsia="Arial" w:hAnsiTheme="minorHAnsi" w:cstheme="minorHAnsi"/>
          <w:b/>
        </w:rPr>
        <w:t xml:space="preserve"> </w:t>
      </w:r>
      <w:r w:rsidRPr="00D072A3">
        <w:rPr>
          <w:rFonts w:asciiTheme="minorHAnsi" w:hAnsiTheme="minorHAnsi" w:cstheme="minorHAnsi"/>
        </w:rPr>
        <w:t xml:space="preserve">Speech and language therapists provide direct and indirect interventions for individuals speech, language and communication needs. Typically SLTs working in justice settings will:  </w:t>
      </w:r>
    </w:p>
    <w:p w14:paraId="62BEC9CB" w14:textId="77777777" w:rsidR="00F40440" w:rsidRPr="00D072A3" w:rsidRDefault="00F40440" w:rsidP="00F40440">
      <w:pPr>
        <w:numPr>
          <w:ilvl w:val="0"/>
          <w:numId w:val="3"/>
        </w:numPr>
        <w:spacing w:after="26" w:line="250" w:lineRule="auto"/>
        <w:ind w:hanging="360"/>
        <w:rPr>
          <w:rFonts w:asciiTheme="minorHAnsi" w:hAnsiTheme="minorHAnsi" w:cstheme="minorHAnsi"/>
        </w:rPr>
      </w:pPr>
      <w:r w:rsidRPr="00D072A3">
        <w:rPr>
          <w:rFonts w:asciiTheme="minorHAnsi" w:hAnsiTheme="minorHAnsi" w:cstheme="minorHAnsi"/>
          <w:b/>
        </w:rPr>
        <w:t>Screen and assess young people</w:t>
      </w:r>
      <w:r w:rsidRPr="00D072A3">
        <w:rPr>
          <w:rFonts w:asciiTheme="minorHAnsi" w:hAnsiTheme="minorHAnsi" w:cstheme="minorHAnsi"/>
        </w:rPr>
        <w:t xml:space="preserve"> to determine their speech, language and communication needs and support the implementation of the forthcoming Mental Capacity Act (2016) where relevant.  </w:t>
      </w:r>
    </w:p>
    <w:p w14:paraId="4C505945" w14:textId="77777777" w:rsidR="00F40440" w:rsidRPr="00D072A3" w:rsidRDefault="00F40440" w:rsidP="00F40440">
      <w:pPr>
        <w:numPr>
          <w:ilvl w:val="0"/>
          <w:numId w:val="3"/>
        </w:numPr>
        <w:spacing w:after="26" w:line="250" w:lineRule="auto"/>
        <w:ind w:hanging="360"/>
        <w:rPr>
          <w:rFonts w:asciiTheme="minorHAnsi" w:hAnsiTheme="minorHAnsi" w:cstheme="minorHAnsi"/>
        </w:rPr>
      </w:pPr>
      <w:r w:rsidRPr="00D072A3">
        <w:rPr>
          <w:rFonts w:asciiTheme="minorHAnsi" w:hAnsiTheme="minorHAnsi" w:cstheme="minorHAnsi"/>
          <w:b/>
        </w:rPr>
        <w:t>Support young people</w:t>
      </w:r>
      <w:r w:rsidRPr="00D072A3">
        <w:rPr>
          <w:rFonts w:asciiTheme="minorHAnsi" w:hAnsiTheme="minorHAnsi" w:cstheme="minorHAnsi"/>
        </w:rPr>
        <w:t xml:space="preserve"> to develop their own strategies to facilitate communication </w:t>
      </w:r>
    </w:p>
    <w:p w14:paraId="417D94D1" w14:textId="77777777" w:rsidR="00F40440" w:rsidRPr="00D072A3" w:rsidRDefault="00F40440" w:rsidP="00F40440">
      <w:pPr>
        <w:numPr>
          <w:ilvl w:val="0"/>
          <w:numId w:val="3"/>
        </w:numPr>
        <w:spacing w:after="26" w:line="250" w:lineRule="auto"/>
        <w:ind w:hanging="360"/>
        <w:rPr>
          <w:rFonts w:asciiTheme="minorHAnsi" w:hAnsiTheme="minorHAnsi" w:cstheme="minorHAnsi"/>
        </w:rPr>
      </w:pPr>
      <w:r w:rsidRPr="00D072A3">
        <w:rPr>
          <w:rFonts w:asciiTheme="minorHAnsi" w:hAnsiTheme="minorHAnsi" w:cstheme="minorHAnsi"/>
          <w:b/>
        </w:rPr>
        <w:t>Work with others</w:t>
      </w:r>
      <w:r w:rsidRPr="00D072A3">
        <w:rPr>
          <w:rFonts w:asciiTheme="minorHAnsi" w:hAnsiTheme="minorHAnsi" w:cstheme="minorHAnsi"/>
        </w:rPr>
        <w:t xml:space="preserve"> to make treatment, education and information more accessible and ensure that programmes and regimes are aimed at appropriate levels for individuals. </w:t>
      </w:r>
    </w:p>
    <w:p w14:paraId="09C2ED39" w14:textId="77777777" w:rsidR="00F40440" w:rsidRPr="00D072A3" w:rsidRDefault="00F40440" w:rsidP="00F40440">
      <w:pPr>
        <w:numPr>
          <w:ilvl w:val="0"/>
          <w:numId w:val="3"/>
        </w:numPr>
        <w:spacing w:after="26" w:line="250" w:lineRule="auto"/>
        <w:ind w:hanging="360"/>
        <w:rPr>
          <w:rFonts w:asciiTheme="minorHAnsi" w:hAnsiTheme="minorHAnsi" w:cstheme="minorHAnsi"/>
        </w:rPr>
      </w:pPr>
      <w:r w:rsidRPr="00D072A3">
        <w:rPr>
          <w:rFonts w:asciiTheme="minorHAnsi" w:hAnsiTheme="minorHAnsi" w:cstheme="minorHAnsi"/>
          <w:b/>
        </w:rPr>
        <w:t>Train the workforce</w:t>
      </w:r>
      <w:r w:rsidRPr="00D072A3">
        <w:rPr>
          <w:rFonts w:asciiTheme="minorHAnsi" w:hAnsiTheme="minorHAnsi" w:cstheme="minorHAnsi"/>
        </w:rPr>
        <w:t xml:space="preserve"> to be able to identify who may need support with speech, language and communication, understand how this might impact on the young person and how to improve their interaction with individuals. </w:t>
      </w:r>
    </w:p>
    <w:p w14:paraId="16134846" w14:textId="77777777" w:rsidR="00F40440" w:rsidRPr="00D072A3" w:rsidRDefault="00F40440" w:rsidP="00F40440">
      <w:pPr>
        <w:numPr>
          <w:ilvl w:val="0"/>
          <w:numId w:val="3"/>
        </w:numPr>
        <w:spacing w:after="0" w:line="250" w:lineRule="auto"/>
        <w:ind w:hanging="360"/>
        <w:rPr>
          <w:rFonts w:asciiTheme="minorHAnsi" w:hAnsiTheme="minorHAnsi" w:cstheme="minorHAnsi"/>
        </w:rPr>
      </w:pPr>
      <w:r w:rsidRPr="00D072A3">
        <w:rPr>
          <w:rFonts w:asciiTheme="minorHAnsi" w:hAnsiTheme="minorHAnsi" w:cstheme="minorHAnsi"/>
          <w:b/>
        </w:rPr>
        <w:lastRenderedPageBreak/>
        <w:t>Act as Registered Intermediaries</w:t>
      </w:r>
      <w:r w:rsidRPr="00D072A3">
        <w:rPr>
          <w:rFonts w:asciiTheme="minorHAnsi" w:hAnsiTheme="minorHAnsi" w:cstheme="minorHAnsi"/>
        </w:rPr>
        <w:t xml:space="preserve"> to facilitate participation and engagement of children and adults who are classed as vulnerable, to access the criminal justice system. Currently in Northern Ireland 65% of RIs are speech and language therapists. </w:t>
      </w:r>
      <w:r w:rsidRPr="00D072A3">
        <w:rPr>
          <w:rFonts w:asciiTheme="minorHAnsi" w:hAnsiTheme="minorHAnsi" w:cstheme="minorHAnsi"/>
          <w:b/>
        </w:rPr>
        <w:t xml:space="preserve"> </w:t>
      </w:r>
    </w:p>
    <w:p w14:paraId="2E8B38A6" w14:textId="6A595025" w:rsidR="000111CB" w:rsidRDefault="00F40440" w:rsidP="007F01A4">
      <w:pPr>
        <w:spacing w:after="218"/>
      </w:pPr>
      <w:r w:rsidRPr="00D072A3">
        <w:rPr>
          <w:rFonts w:asciiTheme="minorHAnsi" w:hAnsiTheme="minorHAnsi" w:cstheme="minorHAnsi"/>
          <w:b/>
        </w:rPr>
        <w:t xml:space="preserve"> </w:t>
      </w:r>
    </w:p>
    <w:sectPr w:rsidR="00011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537AA" w14:textId="77777777" w:rsidR="00F40440" w:rsidRDefault="00F40440" w:rsidP="00F40440">
      <w:pPr>
        <w:spacing w:after="0" w:line="240" w:lineRule="auto"/>
      </w:pPr>
      <w:r>
        <w:separator/>
      </w:r>
    </w:p>
  </w:endnote>
  <w:endnote w:type="continuationSeparator" w:id="0">
    <w:p w14:paraId="625714C1" w14:textId="77777777" w:rsidR="00F40440" w:rsidRDefault="00F40440" w:rsidP="00F40440">
      <w:pPr>
        <w:spacing w:after="0" w:line="240" w:lineRule="auto"/>
      </w:pPr>
      <w:r>
        <w:continuationSeparator/>
      </w:r>
    </w:p>
  </w:endnote>
  <w:endnote w:id="1">
    <w:p w14:paraId="398348CC" w14:textId="77777777" w:rsidR="00F40440" w:rsidRPr="00AF3D2E" w:rsidRDefault="00F40440" w:rsidP="00F40440">
      <w:pPr>
        <w:pStyle w:val="EndnoteText"/>
        <w:rPr>
          <w:sz w:val="16"/>
          <w:szCs w:val="16"/>
        </w:rPr>
      </w:pPr>
      <w:r w:rsidRPr="005B3749">
        <w:rPr>
          <w:rStyle w:val="EndnoteReference"/>
          <w:sz w:val="16"/>
          <w:szCs w:val="16"/>
        </w:rPr>
        <w:endnoteRef/>
      </w:r>
      <w:r w:rsidRPr="005B3749">
        <w:rPr>
          <w:sz w:val="16"/>
          <w:szCs w:val="16"/>
        </w:rPr>
        <w:t xml:space="preserve"> </w:t>
      </w:r>
      <w:r w:rsidRPr="00AF3D2E">
        <w:rPr>
          <w:sz w:val="16"/>
          <w:szCs w:val="16"/>
        </w:rPr>
        <w:t>McCool S and Stevens IC. Identifying speech, language and communication needs among children and young people in residential care. International Journal of Language and Communication Disorders 2011; 46(6): 665-74.</w:t>
      </w:r>
    </w:p>
  </w:endnote>
  <w:endnote w:id="2">
    <w:p w14:paraId="7C8C9871" w14:textId="77777777" w:rsidR="00F40440" w:rsidRPr="00AF3D2E" w:rsidRDefault="00F40440" w:rsidP="00F40440">
      <w:pPr>
        <w:autoSpaceDE w:val="0"/>
        <w:autoSpaceDN w:val="0"/>
        <w:adjustRightInd w:val="0"/>
        <w:spacing w:after="0" w:line="240" w:lineRule="auto"/>
        <w:rPr>
          <w:sz w:val="16"/>
          <w:szCs w:val="16"/>
        </w:rPr>
      </w:pPr>
      <w:r w:rsidRPr="00AF3D2E">
        <w:rPr>
          <w:rStyle w:val="EndnoteReference"/>
          <w:sz w:val="16"/>
          <w:szCs w:val="16"/>
        </w:rPr>
        <w:endnoteRef/>
      </w:r>
      <w:r w:rsidRPr="00AF3D2E">
        <w:rPr>
          <w:sz w:val="16"/>
          <w:szCs w:val="16"/>
        </w:rPr>
        <w:t xml:space="preserve"> </w:t>
      </w:r>
      <w:r w:rsidRPr="00AF3D2E">
        <w:rPr>
          <w:rFonts w:eastAsia="AlrightSans-Regular" w:cs="AlrightSans-Regular"/>
          <w:sz w:val="16"/>
          <w:szCs w:val="16"/>
        </w:rPr>
        <w:t>Meltzer H. The mental health of young people looked after by local authorities in England. Office of National Statistics 2002.</w:t>
      </w:r>
    </w:p>
  </w:endnote>
  <w:endnote w:id="3">
    <w:p w14:paraId="38C11B31" w14:textId="77777777" w:rsidR="00F40440" w:rsidRPr="00AF3D2E" w:rsidRDefault="00F40440" w:rsidP="00F40440">
      <w:pPr>
        <w:pStyle w:val="EndnoteText"/>
        <w:rPr>
          <w:sz w:val="16"/>
          <w:szCs w:val="16"/>
        </w:rPr>
      </w:pPr>
      <w:r w:rsidRPr="00AF3D2E">
        <w:rPr>
          <w:rStyle w:val="EndnoteReference"/>
          <w:sz w:val="16"/>
          <w:szCs w:val="16"/>
        </w:rPr>
        <w:endnoteRef/>
      </w:r>
      <w:r w:rsidRPr="00AF3D2E">
        <w:rPr>
          <w:sz w:val="16"/>
          <w:szCs w:val="16"/>
        </w:rPr>
        <w:t xml:space="preserve"> Information provided by Youth Communication Team North Yorkshire, 2016.</w:t>
      </w:r>
    </w:p>
  </w:endnote>
  <w:endnote w:id="4">
    <w:p w14:paraId="633CEF41" w14:textId="77777777" w:rsidR="00F40440" w:rsidRDefault="00F40440" w:rsidP="00F40440">
      <w:pPr>
        <w:pStyle w:val="EndnoteText"/>
      </w:pPr>
      <w:r>
        <w:rPr>
          <w:rStyle w:val="EndnoteReference"/>
        </w:rPr>
        <w:endnoteRef/>
      </w:r>
      <w:r>
        <w:t xml:space="preserve"> </w:t>
      </w:r>
      <w:r w:rsidRPr="00864516">
        <w:rPr>
          <w:sz w:val="16"/>
          <w:szCs w:val="16"/>
        </w:rPr>
        <w:t>Data provided by WHSCT SLT Service, October 2019</w:t>
      </w:r>
      <w:r>
        <w:rPr>
          <w:sz w:val="16"/>
          <w:szCs w:val="16"/>
        </w:rPr>
        <w:t xml:space="preserve"> - full case study available upon request.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rightSans-Regular">
    <w:altName w:val="MS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D5C6E" w14:textId="77777777" w:rsidR="00F40440" w:rsidRDefault="00F40440" w:rsidP="00F40440">
      <w:pPr>
        <w:spacing w:after="0" w:line="240" w:lineRule="auto"/>
      </w:pPr>
      <w:r>
        <w:separator/>
      </w:r>
    </w:p>
  </w:footnote>
  <w:footnote w:type="continuationSeparator" w:id="0">
    <w:p w14:paraId="1B3FFD03" w14:textId="77777777" w:rsidR="00F40440" w:rsidRDefault="00F40440" w:rsidP="00F40440">
      <w:pPr>
        <w:spacing w:after="0" w:line="240" w:lineRule="auto"/>
      </w:pPr>
      <w:r>
        <w:continuationSeparator/>
      </w:r>
    </w:p>
  </w:footnote>
  <w:footnote w:id="1">
    <w:p w14:paraId="474B00EA" w14:textId="77777777" w:rsidR="00F40440" w:rsidRDefault="00F40440" w:rsidP="00F40440">
      <w:pPr>
        <w:pStyle w:val="footnotedescription"/>
      </w:pPr>
      <w:r>
        <w:rPr>
          <w:rStyle w:val="footnotemark"/>
        </w:rPr>
        <w:footnoteRef/>
      </w:r>
      <w:r>
        <w:t xml:space="preserve"> Available a</w:t>
      </w:r>
      <w:hyperlink r:id="rId1" w:anchor="section-11">
        <w:r>
          <w:t xml:space="preserve">t </w:t>
        </w:r>
      </w:hyperlink>
      <w:hyperlink r:id="rId2" w:anchor="section-11">
        <w:r>
          <w:rPr>
            <w:color w:val="0000FF"/>
            <w:u w:val="single" w:color="0000FF"/>
          </w:rPr>
          <w:t>https://www.rcslt.org/members/clinical</w:t>
        </w:r>
      </w:hyperlink>
      <w:hyperlink r:id="rId3" w:anchor="section-11">
        <w:r>
          <w:rPr>
            <w:color w:val="0000FF"/>
            <w:u w:val="single" w:color="0000FF"/>
          </w:rPr>
          <w:t>-</w:t>
        </w:r>
      </w:hyperlink>
      <w:hyperlink r:id="rId4" w:anchor="section-11">
        <w:r>
          <w:rPr>
            <w:color w:val="0000FF"/>
            <w:u w:val="single" w:color="0000FF"/>
          </w:rPr>
          <w:t>guidance/justice/justice</w:t>
        </w:r>
      </w:hyperlink>
      <w:hyperlink r:id="rId5" w:anchor="section-11">
        <w:r>
          <w:rPr>
            <w:color w:val="0000FF"/>
            <w:u w:val="single" w:color="0000FF"/>
          </w:rPr>
          <w:t>-</w:t>
        </w:r>
      </w:hyperlink>
      <w:hyperlink r:id="rId6" w:anchor="section-11">
        <w:r>
          <w:rPr>
            <w:color w:val="0000FF"/>
            <w:u w:val="single" w:color="0000FF"/>
          </w:rPr>
          <w:t>guidance#section</w:t>
        </w:r>
      </w:hyperlink>
      <w:hyperlink r:id="rId7" w:anchor="section-11">
        <w:r>
          <w:rPr>
            <w:color w:val="0000FF"/>
            <w:u w:val="single" w:color="0000FF"/>
          </w:rPr>
          <w:t>-</w:t>
        </w:r>
      </w:hyperlink>
      <w:hyperlink r:id="rId8" w:anchor="section-11">
        <w:r>
          <w:rPr>
            <w:color w:val="0000FF"/>
            <w:u w:val="single" w:color="0000FF"/>
          </w:rPr>
          <w:t>11</w:t>
        </w:r>
      </w:hyperlink>
      <w:hyperlink r:id="rId9" w:anchor="section-11">
        <w:r>
          <w:t xml:space="preserve">  </w:t>
        </w:r>
      </w:hyperlink>
    </w:p>
  </w:footnote>
  <w:footnote w:id="2">
    <w:p w14:paraId="236EFD82" w14:textId="77777777" w:rsidR="00F40440" w:rsidRDefault="00F40440" w:rsidP="00F40440">
      <w:pPr>
        <w:pStyle w:val="FootnoteText"/>
      </w:pPr>
      <w:r>
        <w:rPr>
          <w:rStyle w:val="FootnoteReference"/>
        </w:rPr>
        <w:footnoteRef/>
      </w:r>
      <w:r>
        <w:t xml:space="preserve"> Available at </w:t>
      </w:r>
      <w:hyperlink r:id="rId10" w:history="1">
        <w:r w:rsidRPr="000C5CC3">
          <w:rPr>
            <w:rStyle w:val="Hyperlink"/>
          </w:rPr>
          <w:t>https://www.rcslt.org/learning/the-box-training/</w:t>
        </w:r>
      </w:hyperlink>
      <w:r>
        <w:t xml:space="preserve"> </w:t>
      </w:r>
    </w:p>
  </w:footnote>
  <w:footnote w:id="3">
    <w:p w14:paraId="7400184D" w14:textId="77777777" w:rsidR="00F40440" w:rsidRDefault="00F40440" w:rsidP="00F40440">
      <w:pPr>
        <w:pStyle w:val="footnotedescription"/>
        <w:spacing w:after="22" w:line="254" w:lineRule="auto"/>
      </w:pPr>
      <w:r>
        <w:rPr>
          <w:rStyle w:val="footnotemark"/>
        </w:rPr>
        <w:footnoteRef/>
      </w:r>
      <w:r>
        <w:t xml:space="preserve"> Bryan, K., Freer, J. and Furlong, C. (2007), Language and Communication Difficulties in Juvenile Offenders. International Journal of Language and Communication Disorders, 42 (5), 505-520). </w:t>
      </w:r>
    </w:p>
  </w:footnote>
  <w:footnote w:id="4">
    <w:p w14:paraId="42B12507" w14:textId="77777777" w:rsidR="00F40440" w:rsidRDefault="00F40440" w:rsidP="00F40440">
      <w:pPr>
        <w:pStyle w:val="FootnoteText"/>
      </w:pPr>
      <w:r>
        <w:rPr>
          <w:rStyle w:val="FootnoteReference"/>
        </w:rPr>
        <w:footnoteRef/>
      </w:r>
      <w:r>
        <w:t xml:space="preserve"> </w:t>
      </w:r>
      <w:hyperlink r:id="rId11" w:history="1">
        <w:r w:rsidRPr="00091A32">
          <w:rPr>
            <w:rStyle w:val="Hyperlink"/>
          </w:rPr>
          <w:t>https://www.justice-ni.gov.uk/sites/default/files/consultations/justice/regional-care-justice-campus-consultation.pdf</w:t>
        </w:r>
      </w:hyperlink>
      <w:r>
        <w:t xml:space="preserve">  </w:t>
      </w:r>
    </w:p>
  </w:footnote>
  <w:footnote w:id="5">
    <w:p w14:paraId="20E65C7B" w14:textId="77777777" w:rsidR="00F40440" w:rsidRDefault="00F40440" w:rsidP="00F40440">
      <w:pPr>
        <w:pStyle w:val="footnotedescription"/>
      </w:pPr>
      <w:r>
        <w:rPr>
          <w:rStyle w:val="footnotemark"/>
        </w:rPr>
        <w:footnoteRef/>
      </w:r>
      <w:r>
        <w:t xml:space="preserve"> </w:t>
      </w:r>
      <w:hyperlink r:id="rId12">
        <w:r>
          <w:rPr>
            <w:color w:val="0000FF"/>
            <w:u w:val="single" w:color="0000FF"/>
          </w:rPr>
          <w:t>https://www.justice</w:t>
        </w:r>
      </w:hyperlink>
      <w:hyperlink r:id="rId13">
        <w:r>
          <w:rPr>
            <w:color w:val="0000FF"/>
            <w:u w:val="single" w:color="0000FF"/>
          </w:rPr>
          <w:t>-</w:t>
        </w:r>
      </w:hyperlink>
      <w:hyperlink r:id="rId14">
        <w:r>
          <w:rPr>
            <w:color w:val="0000FF"/>
            <w:u w:val="single" w:color="0000FF"/>
          </w:rPr>
          <w:t>ni.gov.uk/sites/default/files/publications/doj/yja</w:t>
        </w:r>
      </w:hyperlink>
      <w:hyperlink r:id="rId15">
        <w:r>
          <w:rPr>
            <w:color w:val="0000FF"/>
            <w:u w:val="single" w:color="0000FF"/>
          </w:rPr>
          <w:t>-</w:t>
        </w:r>
      </w:hyperlink>
      <w:hyperlink r:id="rId16">
        <w:r>
          <w:rPr>
            <w:color w:val="0000FF"/>
            <w:u w:val="single" w:color="0000FF"/>
          </w:rPr>
          <w:t>and</w:t>
        </w:r>
      </w:hyperlink>
      <w:hyperlink r:id="rId17">
        <w:r>
          <w:rPr>
            <w:color w:val="0000FF"/>
            <w:u w:val="single" w:color="0000FF"/>
          </w:rPr>
          <w:t>-</w:t>
        </w:r>
      </w:hyperlink>
      <w:hyperlink r:id="rId18">
        <w:r>
          <w:rPr>
            <w:color w:val="0000FF"/>
            <w:u w:val="single" w:color="0000FF"/>
          </w:rPr>
          <w:t>rcslt</w:t>
        </w:r>
      </w:hyperlink>
      <w:hyperlink r:id="rId19">
        <w:r>
          <w:rPr>
            <w:color w:val="0000FF"/>
            <w:u w:val="single" w:color="0000FF"/>
          </w:rPr>
          <w:t>-</w:t>
        </w:r>
      </w:hyperlink>
      <w:hyperlink r:id="rId20">
        <w:r>
          <w:rPr>
            <w:color w:val="0000FF"/>
            <w:u w:val="single" w:color="0000FF"/>
          </w:rPr>
          <w:t>joint</w:t>
        </w:r>
      </w:hyperlink>
      <w:hyperlink r:id="rId21">
        <w:r>
          <w:rPr>
            <w:color w:val="0000FF"/>
            <w:u w:val="single" w:color="0000FF"/>
          </w:rPr>
          <w:t>-</w:t>
        </w:r>
      </w:hyperlink>
      <w:hyperlink r:id="rId22">
        <w:r>
          <w:rPr>
            <w:color w:val="0000FF"/>
            <w:u w:val="single" w:color="0000FF"/>
          </w:rPr>
          <w:t>conference</w:t>
        </w:r>
      </w:hyperlink>
      <w:hyperlink r:id="rId23">
        <w:r>
          <w:rPr>
            <w:color w:val="0000FF"/>
            <w:u w:val="single" w:color="0000FF"/>
          </w:rPr>
          <w:t>-</w:t>
        </w:r>
      </w:hyperlink>
      <w:hyperlink r:id="rId24">
        <w:r>
          <w:rPr>
            <w:color w:val="0000FF"/>
            <w:u w:val="single" w:color="0000FF"/>
          </w:rPr>
          <w:t>report.pdf</w:t>
        </w:r>
      </w:hyperlink>
      <w:hyperlink r:id="rId25">
        <w:r>
          <w:t>.</w:t>
        </w:r>
      </w:hyperlink>
      <w:hyperlink r:id="rId26">
        <w:r>
          <w:rPr>
            <w:sz w:val="20"/>
          </w:rPr>
          <w:t xml:space="preserve"> </w:t>
        </w:r>
      </w:hyperlink>
      <w:r>
        <w:rPr>
          <w:sz w:val="20"/>
        </w:rPr>
        <w:t xml:space="preserve"> </w:t>
      </w:r>
    </w:p>
  </w:footnote>
  <w:footnote w:id="6">
    <w:p w14:paraId="4076937B" w14:textId="77777777" w:rsidR="00F40440" w:rsidRDefault="00F40440" w:rsidP="00F40440">
      <w:pPr>
        <w:pStyle w:val="footnotedescription"/>
        <w:spacing w:line="252" w:lineRule="auto"/>
      </w:pPr>
      <w:r>
        <w:rPr>
          <w:rStyle w:val="footnotemark"/>
        </w:rPr>
        <w:footnoteRef/>
      </w:r>
      <w:r>
        <w:t xml:space="preserve"> Department of Justice, Northern Ireland Registered Intermediaries Schemes Pilot Project, Post-Project Review, January 2015, </w:t>
      </w:r>
      <w:proofErr w:type="spellStart"/>
      <w:r>
        <w:t>Pg</w:t>
      </w:r>
      <w:proofErr w:type="spellEnd"/>
      <w:r>
        <w:t xml:space="preserve"> 4. http://www.dojni.gov.uk/index/publications/publication-categories/pubs-criminal-justice/ri-post-project-reviewfeb15.pdf </w:t>
      </w:r>
    </w:p>
  </w:footnote>
  <w:footnote w:id="7">
    <w:p w14:paraId="2004A363" w14:textId="77777777" w:rsidR="00F40440" w:rsidRDefault="00F40440" w:rsidP="00F40440">
      <w:pPr>
        <w:pStyle w:val="footnotedescription"/>
        <w:spacing w:after="51" w:line="221" w:lineRule="auto"/>
        <w:ind w:right="9"/>
      </w:pPr>
      <w:r>
        <w:rPr>
          <w:rStyle w:val="footnotemark"/>
        </w:rPr>
        <w:footnoteRef/>
      </w:r>
      <w:r>
        <w:t xml:space="preserve"> Se</w:t>
      </w:r>
      <w:hyperlink r:id="rId27">
        <w:r>
          <w:t xml:space="preserve">e </w:t>
        </w:r>
      </w:hyperlink>
      <w:hyperlink r:id="rId28">
        <w:r>
          <w:rPr>
            <w:color w:val="0000FF"/>
            <w:u w:val="single" w:color="0000FF"/>
          </w:rPr>
          <w:t>https://www.rcslt.org/</w:t>
        </w:r>
      </w:hyperlink>
      <w:hyperlink r:id="rId29">
        <w:r>
          <w:rPr>
            <w:color w:val="0000FF"/>
            <w:u w:val="single" w:color="0000FF"/>
          </w:rPr>
          <w:t>-</w:t>
        </w:r>
      </w:hyperlink>
      <w:hyperlink r:id="rId30">
        <w:r>
          <w:rPr>
            <w:color w:val="0000FF"/>
            <w:u w:val="single" w:color="0000FF"/>
          </w:rPr>
          <w:t>/media/Project/RCSLT/justice</w:t>
        </w:r>
      </w:hyperlink>
      <w:hyperlink r:id="rId31">
        <w:r>
          <w:rPr>
            <w:color w:val="0000FF"/>
            <w:u w:val="single" w:color="0000FF"/>
          </w:rPr>
          <w:t>-</w:t>
        </w:r>
      </w:hyperlink>
      <w:hyperlink r:id="rId32">
        <w:r>
          <w:rPr>
            <w:color w:val="0000FF"/>
            <w:u w:val="single" w:color="0000FF"/>
          </w:rPr>
          <w:t>evidence</w:t>
        </w:r>
      </w:hyperlink>
      <w:hyperlink r:id="rId33">
        <w:r>
          <w:rPr>
            <w:color w:val="0000FF"/>
            <w:u w:val="single" w:color="0000FF"/>
          </w:rPr>
          <w:t>-</w:t>
        </w:r>
      </w:hyperlink>
      <w:hyperlink r:id="rId34">
        <w:r>
          <w:rPr>
            <w:color w:val="0000FF"/>
            <w:u w:val="single" w:color="0000FF"/>
          </w:rPr>
          <w:t>base2017</w:t>
        </w:r>
      </w:hyperlink>
      <w:hyperlink r:id="rId35">
        <w:r>
          <w:rPr>
            <w:color w:val="0000FF"/>
            <w:u w:val="single" w:color="0000FF"/>
          </w:rPr>
          <w:t>-</w:t>
        </w:r>
      </w:hyperlink>
      <w:hyperlink r:id="rId36">
        <w:r>
          <w:rPr>
            <w:color w:val="0000FF"/>
            <w:u w:val="single" w:color="0000FF"/>
          </w:rPr>
          <w:t>1.pdf</w:t>
        </w:r>
      </w:hyperlink>
      <w:hyperlink r:id="rId37">
        <w:r>
          <w:t xml:space="preserve"> </w:t>
        </w:r>
      </w:hyperlink>
      <w:hyperlink r:id="rId38">
        <w:r>
          <w:t>f</w:t>
        </w:r>
      </w:hyperlink>
      <w:r>
        <w:t>or a full review of the evidence base relating to SLCN and Justice.</w:t>
      </w:r>
      <w:r>
        <w:rPr>
          <w:sz w:val="20"/>
        </w:rPr>
        <w:t xml:space="preserve">  </w:t>
      </w:r>
    </w:p>
  </w:footnote>
  <w:footnote w:id="8">
    <w:p w14:paraId="6CFCCE4D" w14:textId="77777777" w:rsidR="00F40440" w:rsidRDefault="00F40440" w:rsidP="00F40440">
      <w:pPr>
        <w:pStyle w:val="footnotedescription"/>
      </w:pPr>
      <w:r>
        <w:rPr>
          <w:rStyle w:val="footnotemark"/>
        </w:rPr>
        <w:footnoteRef/>
      </w:r>
      <w:r>
        <w:t xml:space="preserve"> </w:t>
      </w:r>
      <w:r>
        <w:rPr>
          <w:sz w:val="20"/>
        </w:rPr>
        <w:t xml:space="preserve">RCSLT Justice Evidence Base: Consolidation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E200C"/>
    <w:multiLevelType w:val="multilevel"/>
    <w:tmpl w:val="3FBC63F4"/>
    <w:lvl w:ilvl="0">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7545FA2"/>
    <w:multiLevelType w:val="hybridMultilevel"/>
    <w:tmpl w:val="35EABD36"/>
    <w:lvl w:ilvl="0" w:tplc="5DE8EF98">
      <w:start w:val="1"/>
      <w:numFmt w:val="bullet"/>
      <w:lvlText w:val="-"/>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9855CC">
      <w:start w:val="1"/>
      <w:numFmt w:val="bullet"/>
      <w:lvlText w:val="o"/>
      <w:lvlJc w:val="left"/>
      <w:pPr>
        <w:ind w:left="1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6EAFB2">
      <w:start w:val="1"/>
      <w:numFmt w:val="bullet"/>
      <w:lvlText w:val="▪"/>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40106">
      <w:start w:val="1"/>
      <w:numFmt w:val="bullet"/>
      <w:lvlText w:val="•"/>
      <w:lvlJc w:val="left"/>
      <w:pPr>
        <w:ind w:left="3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500A26">
      <w:start w:val="1"/>
      <w:numFmt w:val="bullet"/>
      <w:lvlText w:val="o"/>
      <w:lvlJc w:val="left"/>
      <w:pPr>
        <w:ind w:left="4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F45302">
      <w:start w:val="1"/>
      <w:numFmt w:val="bullet"/>
      <w:lvlText w:val="▪"/>
      <w:lvlJc w:val="left"/>
      <w:pPr>
        <w:ind w:left="4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EC9D4A">
      <w:start w:val="1"/>
      <w:numFmt w:val="bullet"/>
      <w:lvlText w:val="•"/>
      <w:lvlJc w:val="left"/>
      <w:pPr>
        <w:ind w:left="5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044D16">
      <w:start w:val="1"/>
      <w:numFmt w:val="bullet"/>
      <w:lvlText w:val="o"/>
      <w:lvlJc w:val="left"/>
      <w:pPr>
        <w:ind w:left="6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C8C6C0">
      <w:start w:val="1"/>
      <w:numFmt w:val="bullet"/>
      <w:lvlText w:val="▪"/>
      <w:lvlJc w:val="left"/>
      <w:pPr>
        <w:ind w:left="6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933331"/>
    <w:multiLevelType w:val="hybridMultilevel"/>
    <w:tmpl w:val="3158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C6D4A"/>
    <w:multiLevelType w:val="hybridMultilevel"/>
    <w:tmpl w:val="13DAD072"/>
    <w:lvl w:ilvl="0" w:tplc="64044FFA">
      <w:start w:val="1"/>
      <w:numFmt w:val="bullet"/>
      <w:lvlText w:val="-"/>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62CA4">
      <w:start w:val="1"/>
      <w:numFmt w:val="bullet"/>
      <w:lvlText w:val="o"/>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E1A42">
      <w:start w:val="1"/>
      <w:numFmt w:val="bullet"/>
      <w:lvlText w:val="▪"/>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FAA44A">
      <w:start w:val="1"/>
      <w:numFmt w:val="bullet"/>
      <w:lvlText w:val="•"/>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2A798">
      <w:start w:val="1"/>
      <w:numFmt w:val="bullet"/>
      <w:lvlText w:val="o"/>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A3714">
      <w:start w:val="1"/>
      <w:numFmt w:val="bullet"/>
      <w:lvlText w:val="▪"/>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41D3A">
      <w:start w:val="1"/>
      <w:numFmt w:val="bullet"/>
      <w:lvlText w:val="•"/>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E800A6">
      <w:start w:val="1"/>
      <w:numFmt w:val="bullet"/>
      <w:lvlText w:val="o"/>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427B6C">
      <w:start w:val="1"/>
      <w:numFmt w:val="bullet"/>
      <w:lvlText w:val="▪"/>
      <w:lvlJc w:val="left"/>
      <w:pPr>
        <w:ind w:left="6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40"/>
    <w:rsid w:val="000111CB"/>
    <w:rsid w:val="00096914"/>
    <w:rsid w:val="006C307C"/>
    <w:rsid w:val="007F01A4"/>
    <w:rsid w:val="00F40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ED44"/>
  <w15:chartTrackingRefBased/>
  <w15:docId w15:val="{A109D9FB-8FCE-42F0-8270-BA60D297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40"/>
    <w:rPr>
      <w:rFonts w:ascii="Calibri" w:eastAsia="Calibri" w:hAnsi="Calibri" w:cs="Calibri"/>
      <w:color w:val="000000"/>
      <w:lang w:eastAsia="en-GB"/>
    </w:rPr>
  </w:style>
  <w:style w:type="paragraph" w:styleId="Heading1">
    <w:name w:val="heading 1"/>
    <w:next w:val="Normal"/>
    <w:link w:val="Heading1Char"/>
    <w:uiPriority w:val="9"/>
    <w:qFormat/>
    <w:rsid w:val="00F40440"/>
    <w:pPr>
      <w:keepNext/>
      <w:keepLines/>
      <w:spacing w:after="4" w:line="269" w:lineRule="auto"/>
      <w:ind w:left="10" w:hanging="10"/>
      <w:outlineLvl w:val="0"/>
    </w:pPr>
    <w:rPr>
      <w:rFonts w:ascii="Calibri" w:eastAsia="Calibri" w:hAnsi="Calibri" w:cs="Calibri"/>
      <w:b/>
      <w:color w:val="000000"/>
      <w:lang w:eastAsia="en-GB"/>
    </w:rPr>
  </w:style>
  <w:style w:type="paragraph" w:styleId="Heading2">
    <w:name w:val="heading 2"/>
    <w:next w:val="Normal"/>
    <w:link w:val="Heading2Char"/>
    <w:uiPriority w:val="9"/>
    <w:unhideWhenUsed/>
    <w:qFormat/>
    <w:rsid w:val="00F40440"/>
    <w:pPr>
      <w:keepNext/>
      <w:keepLines/>
      <w:spacing w:after="4" w:line="269" w:lineRule="auto"/>
      <w:ind w:left="10" w:hanging="10"/>
      <w:outlineLvl w:val="1"/>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440"/>
    <w:rPr>
      <w:rFonts w:ascii="Calibri" w:eastAsia="Calibri" w:hAnsi="Calibri" w:cs="Calibri"/>
      <w:b/>
      <w:color w:val="000000"/>
      <w:lang w:eastAsia="en-GB"/>
    </w:rPr>
  </w:style>
  <w:style w:type="character" w:customStyle="1" w:styleId="Heading2Char">
    <w:name w:val="Heading 2 Char"/>
    <w:basedOn w:val="DefaultParagraphFont"/>
    <w:link w:val="Heading2"/>
    <w:uiPriority w:val="9"/>
    <w:rsid w:val="00F40440"/>
    <w:rPr>
      <w:rFonts w:ascii="Calibri" w:eastAsia="Calibri" w:hAnsi="Calibri" w:cs="Calibri"/>
      <w:b/>
      <w:color w:val="000000"/>
      <w:lang w:eastAsia="en-GB"/>
    </w:rPr>
  </w:style>
  <w:style w:type="paragraph" w:customStyle="1" w:styleId="footnotedescription">
    <w:name w:val="footnote description"/>
    <w:next w:val="Normal"/>
    <w:link w:val="footnotedescriptionChar"/>
    <w:hidden/>
    <w:rsid w:val="00F40440"/>
    <w:pPr>
      <w:spacing w:after="0"/>
    </w:pPr>
    <w:rPr>
      <w:rFonts w:ascii="Calibri" w:eastAsia="Calibri" w:hAnsi="Calibri" w:cs="Calibri"/>
      <w:color w:val="000000"/>
      <w:sz w:val="16"/>
      <w:lang w:eastAsia="en-GB"/>
    </w:rPr>
  </w:style>
  <w:style w:type="character" w:customStyle="1" w:styleId="footnotedescriptionChar">
    <w:name w:val="footnote description Char"/>
    <w:link w:val="footnotedescription"/>
    <w:rsid w:val="00F40440"/>
    <w:rPr>
      <w:rFonts w:ascii="Calibri" w:eastAsia="Calibri" w:hAnsi="Calibri" w:cs="Calibri"/>
      <w:color w:val="000000"/>
      <w:sz w:val="16"/>
      <w:lang w:eastAsia="en-GB"/>
    </w:rPr>
  </w:style>
  <w:style w:type="character" w:customStyle="1" w:styleId="footnotemark">
    <w:name w:val="footnote mark"/>
    <w:hidden/>
    <w:rsid w:val="00F40440"/>
    <w:rPr>
      <w:rFonts w:ascii="Calibri" w:eastAsia="Calibri" w:hAnsi="Calibri" w:cs="Calibri"/>
      <w:color w:val="000000"/>
      <w:sz w:val="20"/>
      <w:vertAlign w:val="superscript"/>
    </w:rPr>
  </w:style>
  <w:style w:type="paragraph" w:styleId="ListParagraph">
    <w:name w:val="List Paragraph"/>
    <w:basedOn w:val="Normal"/>
    <w:uiPriority w:val="34"/>
    <w:qFormat/>
    <w:rsid w:val="00F40440"/>
    <w:pPr>
      <w:spacing w:after="0" w:line="240" w:lineRule="auto"/>
      <w:ind w:left="720"/>
    </w:pPr>
    <w:rPr>
      <w:rFonts w:eastAsiaTheme="minorHAnsi" w:cs="Times New Roman"/>
      <w:color w:val="auto"/>
      <w:lang w:eastAsia="en-US"/>
    </w:rPr>
  </w:style>
  <w:style w:type="character" w:styleId="FootnoteReference">
    <w:name w:val="footnote reference"/>
    <w:basedOn w:val="DefaultParagraphFont"/>
    <w:uiPriority w:val="99"/>
    <w:unhideWhenUsed/>
    <w:rsid w:val="00F40440"/>
    <w:rPr>
      <w:vertAlign w:val="superscript"/>
    </w:rPr>
  </w:style>
  <w:style w:type="paragraph" w:styleId="EndnoteText">
    <w:name w:val="endnote text"/>
    <w:basedOn w:val="Normal"/>
    <w:link w:val="EndnoteTextChar"/>
    <w:uiPriority w:val="99"/>
    <w:semiHidden/>
    <w:unhideWhenUsed/>
    <w:rsid w:val="00F40440"/>
    <w:pPr>
      <w:spacing w:after="0"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F40440"/>
    <w:rPr>
      <w:sz w:val="20"/>
      <w:szCs w:val="20"/>
    </w:rPr>
  </w:style>
  <w:style w:type="character" w:styleId="EndnoteReference">
    <w:name w:val="endnote reference"/>
    <w:basedOn w:val="DefaultParagraphFont"/>
    <w:uiPriority w:val="99"/>
    <w:semiHidden/>
    <w:unhideWhenUsed/>
    <w:rsid w:val="00F40440"/>
    <w:rPr>
      <w:vertAlign w:val="superscript"/>
    </w:rPr>
  </w:style>
  <w:style w:type="paragraph" w:styleId="FootnoteText">
    <w:name w:val="footnote text"/>
    <w:basedOn w:val="Normal"/>
    <w:link w:val="FootnoteTextChar"/>
    <w:uiPriority w:val="99"/>
    <w:semiHidden/>
    <w:unhideWhenUsed/>
    <w:rsid w:val="00F404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0440"/>
    <w:rPr>
      <w:rFonts w:ascii="Calibri" w:eastAsia="Calibri" w:hAnsi="Calibri" w:cs="Calibri"/>
      <w:color w:val="000000"/>
      <w:sz w:val="20"/>
      <w:szCs w:val="20"/>
      <w:lang w:eastAsia="en-GB"/>
    </w:rPr>
  </w:style>
  <w:style w:type="character" w:styleId="Hyperlink">
    <w:name w:val="Hyperlink"/>
    <w:basedOn w:val="DefaultParagraphFont"/>
    <w:uiPriority w:val="99"/>
    <w:unhideWhenUsed/>
    <w:rsid w:val="00F404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cslt.org/members/clinical-guidance/justice/justice-guidance" TargetMode="External"/><Relationship Id="rId13" Type="http://schemas.openxmlformats.org/officeDocument/2006/relationships/hyperlink" Target="https://www.justice-ni.gov.uk/sites/default/files/publications/doj/yja-and-rcslt-joint-conference-report.pdf" TargetMode="External"/><Relationship Id="rId18" Type="http://schemas.openxmlformats.org/officeDocument/2006/relationships/hyperlink" Target="https://www.justice-ni.gov.uk/sites/default/files/publications/doj/yja-and-rcslt-joint-conference-report.pdf" TargetMode="External"/><Relationship Id="rId26" Type="http://schemas.openxmlformats.org/officeDocument/2006/relationships/hyperlink" Target="https://www.justice-ni.gov.uk/sites/default/files/publications/doj/yja-and-rcslt-joint-conference-report.pdf" TargetMode="External"/><Relationship Id="rId3" Type="http://schemas.openxmlformats.org/officeDocument/2006/relationships/hyperlink" Target="https://www.rcslt.org/members/clinical-guidance/justice/justice-guidance" TargetMode="External"/><Relationship Id="rId21" Type="http://schemas.openxmlformats.org/officeDocument/2006/relationships/hyperlink" Target="https://www.justice-ni.gov.uk/sites/default/files/publications/doj/yja-and-rcslt-joint-conference-report.pdf" TargetMode="External"/><Relationship Id="rId34" Type="http://schemas.openxmlformats.org/officeDocument/2006/relationships/hyperlink" Target="https://www.rcslt.org/-/media/Project/RCSLT/justice-evidence-base2017-1.pdf" TargetMode="External"/><Relationship Id="rId7" Type="http://schemas.openxmlformats.org/officeDocument/2006/relationships/hyperlink" Target="https://www.rcslt.org/members/clinical-guidance/justice/justice-guidance" TargetMode="External"/><Relationship Id="rId12" Type="http://schemas.openxmlformats.org/officeDocument/2006/relationships/hyperlink" Target="https://www.justice-ni.gov.uk/sites/default/files/publications/doj/yja-and-rcslt-joint-conference-report.pdf" TargetMode="External"/><Relationship Id="rId17" Type="http://schemas.openxmlformats.org/officeDocument/2006/relationships/hyperlink" Target="https://www.justice-ni.gov.uk/sites/default/files/publications/doj/yja-and-rcslt-joint-conference-report.pdf" TargetMode="External"/><Relationship Id="rId25" Type="http://schemas.openxmlformats.org/officeDocument/2006/relationships/hyperlink" Target="https://www.justice-ni.gov.uk/sites/default/files/publications/doj/yja-and-rcslt-joint-conference-report.pdf" TargetMode="External"/><Relationship Id="rId33" Type="http://schemas.openxmlformats.org/officeDocument/2006/relationships/hyperlink" Target="https://www.rcslt.org/-/media/Project/RCSLT/justice-evidence-base2017-1.pdf" TargetMode="External"/><Relationship Id="rId38" Type="http://schemas.openxmlformats.org/officeDocument/2006/relationships/hyperlink" Target="https://www.rcslt.org/-/media/Project/RCSLT/justice-evidence-base2017-1.pdf" TargetMode="External"/><Relationship Id="rId2" Type="http://schemas.openxmlformats.org/officeDocument/2006/relationships/hyperlink" Target="https://www.rcslt.org/members/clinical-guidance/justice/justice-guidance" TargetMode="External"/><Relationship Id="rId16" Type="http://schemas.openxmlformats.org/officeDocument/2006/relationships/hyperlink" Target="https://www.justice-ni.gov.uk/sites/default/files/publications/doj/yja-and-rcslt-joint-conference-report.pdf" TargetMode="External"/><Relationship Id="rId20" Type="http://schemas.openxmlformats.org/officeDocument/2006/relationships/hyperlink" Target="https://www.justice-ni.gov.uk/sites/default/files/publications/doj/yja-and-rcslt-joint-conference-report.pdf" TargetMode="External"/><Relationship Id="rId29" Type="http://schemas.openxmlformats.org/officeDocument/2006/relationships/hyperlink" Target="https://www.rcslt.org/-/media/Project/RCSLT/justice-evidence-base2017-1.pdf" TargetMode="External"/><Relationship Id="rId1" Type="http://schemas.openxmlformats.org/officeDocument/2006/relationships/hyperlink" Target="https://www.rcslt.org/members/clinical-guidance/justice/justice-guidance" TargetMode="External"/><Relationship Id="rId6" Type="http://schemas.openxmlformats.org/officeDocument/2006/relationships/hyperlink" Target="https://www.rcslt.org/members/clinical-guidance/justice/justice-guidance" TargetMode="External"/><Relationship Id="rId11" Type="http://schemas.openxmlformats.org/officeDocument/2006/relationships/hyperlink" Target="https://www.justice-ni.gov.uk/sites/default/files/consultations/justice/regional-care-justice-campus-consultation.pdf" TargetMode="External"/><Relationship Id="rId24" Type="http://schemas.openxmlformats.org/officeDocument/2006/relationships/hyperlink" Target="https://www.justice-ni.gov.uk/sites/default/files/publications/doj/yja-and-rcslt-joint-conference-report.pdf" TargetMode="External"/><Relationship Id="rId32" Type="http://schemas.openxmlformats.org/officeDocument/2006/relationships/hyperlink" Target="https://www.rcslt.org/-/media/Project/RCSLT/justice-evidence-base2017-1.pdf" TargetMode="External"/><Relationship Id="rId37" Type="http://schemas.openxmlformats.org/officeDocument/2006/relationships/hyperlink" Target="https://www.rcslt.org/-/media/Project/RCSLT/justice-evidence-base2017-1.pdf" TargetMode="External"/><Relationship Id="rId5" Type="http://schemas.openxmlformats.org/officeDocument/2006/relationships/hyperlink" Target="https://www.rcslt.org/members/clinical-guidance/justice/justice-guidance" TargetMode="External"/><Relationship Id="rId15" Type="http://schemas.openxmlformats.org/officeDocument/2006/relationships/hyperlink" Target="https://www.justice-ni.gov.uk/sites/default/files/publications/doj/yja-and-rcslt-joint-conference-report.pdf" TargetMode="External"/><Relationship Id="rId23" Type="http://schemas.openxmlformats.org/officeDocument/2006/relationships/hyperlink" Target="https://www.justice-ni.gov.uk/sites/default/files/publications/doj/yja-and-rcslt-joint-conference-report.pdf" TargetMode="External"/><Relationship Id="rId28" Type="http://schemas.openxmlformats.org/officeDocument/2006/relationships/hyperlink" Target="https://www.rcslt.org/-/media/Project/RCSLT/justice-evidence-base2017-1.pdf" TargetMode="External"/><Relationship Id="rId36" Type="http://schemas.openxmlformats.org/officeDocument/2006/relationships/hyperlink" Target="https://www.rcslt.org/-/media/Project/RCSLT/justice-evidence-base2017-1.pdf" TargetMode="External"/><Relationship Id="rId10" Type="http://schemas.openxmlformats.org/officeDocument/2006/relationships/hyperlink" Target="https://www.rcslt.org/learning/the-box-training/" TargetMode="External"/><Relationship Id="rId19" Type="http://schemas.openxmlformats.org/officeDocument/2006/relationships/hyperlink" Target="https://www.justice-ni.gov.uk/sites/default/files/publications/doj/yja-and-rcslt-joint-conference-report.pdf" TargetMode="External"/><Relationship Id="rId31" Type="http://schemas.openxmlformats.org/officeDocument/2006/relationships/hyperlink" Target="https://www.rcslt.org/-/media/Project/RCSLT/justice-evidence-base2017-1.pdf" TargetMode="External"/><Relationship Id="rId4" Type="http://schemas.openxmlformats.org/officeDocument/2006/relationships/hyperlink" Target="https://www.rcslt.org/members/clinical-guidance/justice/justice-guidance" TargetMode="External"/><Relationship Id="rId9" Type="http://schemas.openxmlformats.org/officeDocument/2006/relationships/hyperlink" Target="https://www.rcslt.org/members/clinical-guidance/justice/justice-guidance" TargetMode="External"/><Relationship Id="rId14" Type="http://schemas.openxmlformats.org/officeDocument/2006/relationships/hyperlink" Target="https://www.justice-ni.gov.uk/sites/default/files/publications/doj/yja-and-rcslt-joint-conference-report.pdf" TargetMode="External"/><Relationship Id="rId22" Type="http://schemas.openxmlformats.org/officeDocument/2006/relationships/hyperlink" Target="https://www.justice-ni.gov.uk/sites/default/files/publications/doj/yja-and-rcslt-joint-conference-report.pdf" TargetMode="External"/><Relationship Id="rId27" Type="http://schemas.openxmlformats.org/officeDocument/2006/relationships/hyperlink" Target="https://www.rcslt.org/-/media/Project/RCSLT/justice-evidence-base2017-1.pdf" TargetMode="External"/><Relationship Id="rId30" Type="http://schemas.openxmlformats.org/officeDocument/2006/relationships/hyperlink" Target="https://www.rcslt.org/-/media/Project/RCSLT/justice-evidence-base2017-1.pdf" TargetMode="External"/><Relationship Id="rId35" Type="http://schemas.openxmlformats.org/officeDocument/2006/relationships/hyperlink" Target="https://www.rcslt.org/-/media/Project/RCSLT/justice-evidence-base201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Fitzroy</dc:creator>
  <cp:keywords/>
  <dc:description/>
  <cp:lastModifiedBy>Vivienne Fitzroy</cp:lastModifiedBy>
  <cp:revision>3</cp:revision>
  <dcterms:created xsi:type="dcterms:W3CDTF">2021-01-26T13:33:00Z</dcterms:created>
  <dcterms:modified xsi:type="dcterms:W3CDTF">2021-03-30T09:38:00Z</dcterms:modified>
</cp:coreProperties>
</file>