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4BB2" w14:textId="510360C7" w:rsidR="0058264F" w:rsidRPr="002179EE" w:rsidRDefault="0058264F" w:rsidP="0058264F">
      <w:pPr>
        <w:spacing w:after="0" w:line="240" w:lineRule="auto"/>
        <w:rPr>
          <w:rFonts w:cstheme="minorHAnsi"/>
          <w:b/>
          <w:u w:val="single"/>
        </w:rPr>
      </w:pPr>
      <w:r w:rsidRPr="002179EE">
        <w:rPr>
          <w:rFonts w:cstheme="minorHAnsi"/>
          <w:noProof/>
        </w:rPr>
        <w:drawing>
          <wp:inline distT="0" distB="0" distL="0" distR="0" wp14:anchorId="35F73E3B" wp14:editId="691B30FA">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Pr="002179EE">
        <w:rPr>
          <w:rFonts w:cstheme="minorHAnsi"/>
          <w:b/>
          <w:u w:val="single"/>
        </w:rPr>
        <w:t xml:space="preserve"> Senedd Cymru Equalities and Social Justice Committee consultation on Childcare and Parental Employment: the Pandemic and Beyond</w:t>
      </w:r>
    </w:p>
    <w:p w14:paraId="5B54E3D9" w14:textId="77777777" w:rsidR="0058264F" w:rsidRPr="002179EE" w:rsidRDefault="0058264F" w:rsidP="0058264F">
      <w:pPr>
        <w:spacing w:after="0" w:line="240" w:lineRule="auto"/>
        <w:rPr>
          <w:rFonts w:cstheme="minorHAnsi"/>
          <w:b/>
          <w:u w:val="single"/>
        </w:rPr>
      </w:pPr>
    </w:p>
    <w:p w14:paraId="62B5E328" w14:textId="77777777" w:rsidR="0058264F" w:rsidRPr="002179EE" w:rsidRDefault="0058264F" w:rsidP="0058264F">
      <w:pPr>
        <w:spacing w:line="240" w:lineRule="auto"/>
        <w:rPr>
          <w:rFonts w:cstheme="minorHAnsi"/>
          <w:b/>
          <w:bCs/>
          <w:u w:val="single"/>
        </w:rPr>
      </w:pPr>
      <w:r w:rsidRPr="002179EE">
        <w:rPr>
          <w:rFonts w:cstheme="minorHAnsi"/>
          <w:b/>
          <w:bCs/>
          <w:u w:val="single"/>
        </w:rPr>
        <w:t>Executive summary</w:t>
      </w:r>
    </w:p>
    <w:p w14:paraId="76D861E0" w14:textId="77777777" w:rsidR="0058264F" w:rsidRPr="002179EE" w:rsidRDefault="0058264F" w:rsidP="0058264F">
      <w:pPr>
        <w:spacing w:line="240" w:lineRule="auto"/>
        <w:rPr>
          <w:rFonts w:cstheme="minorHAnsi"/>
          <w:b/>
          <w:bCs/>
        </w:rPr>
      </w:pPr>
    </w:p>
    <w:p w14:paraId="662FC13D" w14:textId="7A45AB7D" w:rsidR="0058264F" w:rsidRPr="002179EE" w:rsidRDefault="0058264F" w:rsidP="0058264F">
      <w:pPr>
        <w:spacing w:before="100" w:beforeAutospacing="1" w:line="240" w:lineRule="auto"/>
        <w:rPr>
          <w:rFonts w:cstheme="minorHAnsi"/>
        </w:rPr>
      </w:pPr>
      <w:r w:rsidRPr="002179EE">
        <w:rPr>
          <w:rFonts w:cstheme="minorHAnsi"/>
        </w:rPr>
        <w:t>Thank you for the opportunity to give written evidence as part of the committee’s inquiry into c</w:t>
      </w:r>
      <w:r w:rsidRPr="002179EE">
        <w:rPr>
          <w:rFonts w:cstheme="minorHAnsi"/>
          <w:bCs/>
        </w:rPr>
        <w:t>hildcare and parental employment: the pandemic and beyond</w:t>
      </w:r>
      <w:r w:rsidRPr="002179EE">
        <w:rPr>
          <w:rFonts w:cstheme="minorHAnsi"/>
        </w:rPr>
        <w:t xml:space="preserve">.  In our response, we focus </w:t>
      </w:r>
      <w:r w:rsidR="00EF19CC" w:rsidRPr="002179EE">
        <w:rPr>
          <w:rFonts w:cstheme="minorHAnsi"/>
        </w:rPr>
        <w:t>primarily</w:t>
      </w:r>
      <w:r w:rsidR="00A84674" w:rsidRPr="002179EE">
        <w:rPr>
          <w:rFonts w:cstheme="minorHAnsi"/>
        </w:rPr>
        <w:t xml:space="preserve"> </w:t>
      </w:r>
      <w:r w:rsidRPr="002179EE">
        <w:rPr>
          <w:rFonts w:cstheme="minorHAnsi"/>
        </w:rPr>
        <w:t>on one key question raised within the terms of reference namely;</w:t>
      </w:r>
    </w:p>
    <w:p w14:paraId="6E1C9B79" w14:textId="77777777" w:rsidR="00A84674" w:rsidRPr="002179EE" w:rsidRDefault="00A84674" w:rsidP="0058264F">
      <w:pPr>
        <w:spacing w:before="100" w:beforeAutospacing="1" w:line="240" w:lineRule="auto"/>
        <w:rPr>
          <w:rFonts w:cstheme="minorHAnsi"/>
        </w:rPr>
      </w:pPr>
    </w:p>
    <w:p w14:paraId="3B022EB0" w14:textId="211C0F35" w:rsidR="0058264F" w:rsidRPr="002179EE" w:rsidRDefault="0058264F" w:rsidP="0058264F">
      <w:pPr>
        <w:pStyle w:val="ListParagraph"/>
        <w:numPr>
          <w:ilvl w:val="0"/>
          <w:numId w:val="6"/>
        </w:numPr>
        <w:shd w:val="clear" w:color="auto" w:fill="FFFFFF"/>
        <w:spacing w:after="0" w:line="240" w:lineRule="auto"/>
        <w:textAlignment w:val="baseline"/>
        <w:rPr>
          <w:rFonts w:eastAsia="Times New Roman" w:cstheme="minorHAnsi"/>
          <w:lang w:eastAsia="en-GB"/>
        </w:rPr>
      </w:pPr>
      <w:r w:rsidRPr="002179EE">
        <w:rPr>
          <w:rFonts w:eastAsia="Times New Roman" w:cstheme="minorHAnsi"/>
          <w:lang w:eastAsia="en-GB"/>
        </w:rPr>
        <w:t>The impact of high-quality formal childcare provision on reducing the attainment gap, and the potential benefits of extending childcare provision to tackle inequalities.</w:t>
      </w:r>
    </w:p>
    <w:p w14:paraId="05B28A4B" w14:textId="77777777" w:rsidR="0058264F" w:rsidRPr="002179EE" w:rsidRDefault="0058264F" w:rsidP="0058264F">
      <w:pPr>
        <w:pStyle w:val="ListParagraph"/>
        <w:shd w:val="clear" w:color="auto" w:fill="FFFFFF"/>
        <w:spacing w:before="100" w:beforeAutospacing="1" w:line="240" w:lineRule="auto"/>
        <w:textAlignment w:val="baseline"/>
        <w:rPr>
          <w:rFonts w:eastAsia="Times New Roman" w:cstheme="minorHAnsi"/>
          <w:lang w:eastAsia="en-GB"/>
        </w:rPr>
      </w:pPr>
    </w:p>
    <w:p w14:paraId="2D70120D" w14:textId="6721F390" w:rsidR="0058264F" w:rsidRPr="002179EE" w:rsidRDefault="0058264F" w:rsidP="000905CE">
      <w:pPr>
        <w:spacing w:before="100" w:beforeAutospacing="1" w:line="240" w:lineRule="auto"/>
        <w:rPr>
          <w:rFonts w:cstheme="minorHAnsi"/>
          <w:b/>
          <w:bCs/>
          <w:u w:val="single"/>
        </w:rPr>
      </w:pPr>
      <w:r w:rsidRPr="002179EE">
        <w:rPr>
          <w:rFonts w:cstheme="minorHAnsi"/>
          <w:b/>
          <w:bCs/>
          <w:u w:val="single"/>
        </w:rPr>
        <w:t>Key points</w:t>
      </w:r>
    </w:p>
    <w:p w14:paraId="1C89C8DC" w14:textId="77777777" w:rsidR="00245E37" w:rsidRPr="002179EE" w:rsidRDefault="00245E37" w:rsidP="0058264F">
      <w:pPr>
        <w:spacing w:before="100" w:beforeAutospacing="1" w:line="240" w:lineRule="auto"/>
        <w:ind w:left="360"/>
        <w:rPr>
          <w:rFonts w:cstheme="minorHAnsi"/>
          <w:b/>
          <w:bCs/>
          <w:u w:val="single"/>
        </w:rPr>
      </w:pPr>
    </w:p>
    <w:p w14:paraId="7551E677" w14:textId="1A29C57E" w:rsidR="00EF19CC" w:rsidRPr="002179EE" w:rsidRDefault="00916B98" w:rsidP="008D5CA6">
      <w:pPr>
        <w:pStyle w:val="Default"/>
        <w:numPr>
          <w:ilvl w:val="0"/>
          <w:numId w:val="6"/>
        </w:numPr>
        <w:rPr>
          <w:rFonts w:asciiTheme="minorHAnsi" w:hAnsiTheme="minorHAnsi" w:cstheme="minorHAnsi"/>
          <w:color w:val="auto"/>
          <w:sz w:val="22"/>
          <w:szCs w:val="22"/>
        </w:rPr>
      </w:pPr>
      <w:r w:rsidRPr="002179EE">
        <w:rPr>
          <w:rFonts w:asciiTheme="minorHAnsi" w:hAnsiTheme="minorHAnsi" w:cstheme="minorHAnsi"/>
          <w:color w:val="auto"/>
          <w:sz w:val="22"/>
          <w:szCs w:val="22"/>
        </w:rPr>
        <w:t>There is strong evidence of the benefits of high</w:t>
      </w:r>
      <w:r w:rsidR="00A12CAB">
        <w:rPr>
          <w:rFonts w:asciiTheme="minorHAnsi" w:hAnsiTheme="minorHAnsi" w:cstheme="minorHAnsi"/>
          <w:color w:val="auto"/>
          <w:sz w:val="22"/>
          <w:szCs w:val="22"/>
        </w:rPr>
        <w:t>-</w:t>
      </w:r>
      <w:r w:rsidRPr="002179EE">
        <w:rPr>
          <w:rFonts w:asciiTheme="minorHAnsi" w:hAnsiTheme="minorHAnsi" w:cstheme="minorHAnsi"/>
          <w:color w:val="auto"/>
          <w:sz w:val="22"/>
          <w:szCs w:val="22"/>
        </w:rPr>
        <w:t xml:space="preserve">quality early </w:t>
      </w:r>
      <w:r w:rsidR="00CD408F">
        <w:rPr>
          <w:rFonts w:asciiTheme="minorHAnsi" w:hAnsiTheme="minorHAnsi" w:cstheme="minorHAnsi"/>
          <w:color w:val="auto"/>
          <w:sz w:val="22"/>
          <w:szCs w:val="22"/>
        </w:rPr>
        <w:t xml:space="preserve">childhood </w:t>
      </w:r>
      <w:r w:rsidRPr="002179EE">
        <w:rPr>
          <w:rFonts w:asciiTheme="minorHAnsi" w:hAnsiTheme="minorHAnsi" w:cstheme="minorHAnsi"/>
          <w:color w:val="auto"/>
          <w:sz w:val="22"/>
          <w:szCs w:val="22"/>
        </w:rPr>
        <w:t>education and care</w:t>
      </w:r>
      <w:r w:rsidR="002179EE">
        <w:rPr>
          <w:rFonts w:asciiTheme="minorHAnsi" w:hAnsiTheme="minorHAnsi" w:cstheme="minorHAnsi"/>
          <w:color w:val="auto"/>
          <w:sz w:val="22"/>
          <w:szCs w:val="22"/>
        </w:rPr>
        <w:t xml:space="preserve"> (ECEC)</w:t>
      </w:r>
      <w:r w:rsidR="00EF19CC" w:rsidRPr="002179EE">
        <w:rPr>
          <w:rFonts w:asciiTheme="minorHAnsi" w:hAnsiTheme="minorHAnsi" w:cstheme="minorHAnsi"/>
          <w:color w:val="auto"/>
          <w:sz w:val="22"/>
          <w:szCs w:val="22"/>
        </w:rPr>
        <w:t xml:space="preserve">.  </w:t>
      </w:r>
      <w:r w:rsidR="00E3658B" w:rsidRPr="002179EE">
        <w:rPr>
          <w:rFonts w:asciiTheme="minorHAnsi" w:hAnsiTheme="minorHAnsi" w:cstheme="minorHAnsi"/>
          <w:color w:val="auto"/>
          <w:sz w:val="22"/>
          <w:szCs w:val="22"/>
        </w:rPr>
        <w:t>E</w:t>
      </w:r>
      <w:r w:rsidRPr="002179EE">
        <w:rPr>
          <w:rFonts w:asciiTheme="minorHAnsi" w:hAnsiTheme="minorHAnsi" w:cstheme="minorHAnsi"/>
          <w:color w:val="auto"/>
          <w:sz w:val="22"/>
          <w:szCs w:val="22"/>
        </w:rPr>
        <w:t>arly years practitioners have a crucial role in supporting children’s development</w:t>
      </w:r>
      <w:r w:rsidR="00EF19CC" w:rsidRPr="002179EE">
        <w:rPr>
          <w:rFonts w:asciiTheme="minorHAnsi" w:hAnsiTheme="minorHAnsi" w:cstheme="minorHAnsi"/>
          <w:color w:val="auto"/>
          <w:sz w:val="22"/>
          <w:szCs w:val="22"/>
        </w:rPr>
        <w:t xml:space="preserve"> and </w:t>
      </w:r>
      <w:r w:rsidRPr="002179EE">
        <w:rPr>
          <w:rFonts w:asciiTheme="minorHAnsi" w:hAnsiTheme="minorHAnsi" w:cstheme="minorHAnsi"/>
          <w:color w:val="auto"/>
          <w:sz w:val="22"/>
          <w:szCs w:val="22"/>
        </w:rPr>
        <w:t>in closing the language gap between children from high</w:t>
      </w:r>
      <w:r w:rsidR="00A12CAB">
        <w:rPr>
          <w:rFonts w:asciiTheme="minorHAnsi" w:hAnsiTheme="minorHAnsi" w:cstheme="minorHAnsi"/>
          <w:color w:val="auto"/>
          <w:sz w:val="22"/>
          <w:szCs w:val="22"/>
        </w:rPr>
        <w:t>er</w:t>
      </w:r>
      <w:r w:rsidRPr="002179EE">
        <w:rPr>
          <w:rFonts w:asciiTheme="minorHAnsi" w:hAnsiTheme="minorHAnsi" w:cstheme="minorHAnsi"/>
          <w:color w:val="auto"/>
          <w:sz w:val="22"/>
          <w:szCs w:val="22"/>
        </w:rPr>
        <w:t xml:space="preserve"> and lower income families, which begins in infancy, promoting social mobility and offering children the best start in life.  </w:t>
      </w:r>
    </w:p>
    <w:p w14:paraId="3413A424" w14:textId="30F4FE40" w:rsidR="00EF19CC" w:rsidRPr="002179EE" w:rsidRDefault="00D2435E" w:rsidP="008D5CA6">
      <w:pPr>
        <w:pStyle w:val="Default"/>
        <w:numPr>
          <w:ilvl w:val="0"/>
          <w:numId w:val="6"/>
        </w:numPr>
        <w:rPr>
          <w:rFonts w:asciiTheme="minorHAnsi" w:hAnsiTheme="minorHAnsi" w:cstheme="minorHAnsi"/>
          <w:color w:val="auto"/>
          <w:sz w:val="22"/>
          <w:szCs w:val="22"/>
        </w:rPr>
      </w:pPr>
      <w:r w:rsidRPr="002179EE">
        <w:rPr>
          <w:rFonts w:asciiTheme="minorHAnsi" w:hAnsiTheme="minorHAnsi" w:cstheme="minorHAnsi"/>
          <w:color w:val="auto"/>
          <w:sz w:val="22"/>
          <w:szCs w:val="22"/>
        </w:rPr>
        <w:t xml:space="preserve">Recent research conducted during the pandemic </w:t>
      </w:r>
      <w:r w:rsidRPr="002179EE">
        <w:rPr>
          <w:rFonts w:asciiTheme="minorHAnsi" w:hAnsiTheme="minorHAnsi" w:cstheme="minorHAnsi"/>
          <w:color w:val="auto"/>
          <w:sz w:val="22"/>
          <w:szCs w:val="22"/>
          <w:shd w:val="clear" w:color="auto" w:fill="FFFFFF"/>
        </w:rPr>
        <w:t>highlighted the importance of high-quality ECEC for the development of key skills and for levelling socioeconomic inequalities</w:t>
      </w:r>
      <w:r w:rsidRPr="002179EE">
        <w:rPr>
          <w:rFonts w:asciiTheme="minorHAnsi" w:hAnsiTheme="minorHAnsi" w:cstheme="minorHAnsi"/>
          <w:color w:val="auto"/>
          <w:sz w:val="22"/>
          <w:szCs w:val="22"/>
        </w:rPr>
        <w:t xml:space="preserve"> noting that the protective effect of ECEC was likely to be even greater during the pandemic.  </w:t>
      </w:r>
    </w:p>
    <w:p w14:paraId="5378DF2F" w14:textId="4FBAD18F" w:rsidR="00916B98" w:rsidRPr="002179EE" w:rsidRDefault="00EF19CC" w:rsidP="008D5CA6">
      <w:pPr>
        <w:pStyle w:val="Default"/>
        <w:numPr>
          <w:ilvl w:val="0"/>
          <w:numId w:val="6"/>
        </w:numPr>
        <w:rPr>
          <w:rFonts w:asciiTheme="minorHAnsi" w:hAnsiTheme="minorHAnsi" w:cstheme="minorHAnsi"/>
          <w:color w:val="auto"/>
          <w:sz w:val="22"/>
          <w:szCs w:val="22"/>
        </w:rPr>
      </w:pPr>
      <w:r w:rsidRPr="002179EE">
        <w:rPr>
          <w:rFonts w:asciiTheme="minorHAnsi" w:hAnsiTheme="minorHAnsi" w:cstheme="minorHAnsi"/>
          <w:color w:val="auto"/>
          <w:sz w:val="22"/>
          <w:szCs w:val="22"/>
        </w:rPr>
        <w:t xml:space="preserve">As a key element of </w:t>
      </w:r>
      <w:r w:rsidRPr="002179EE">
        <w:rPr>
          <w:rFonts w:asciiTheme="minorHAnsi" w:eastAsia="Times New Roman" w:hAnsiTheme="minorHAnsi" w:cstheme="minorHAnsi"/>
          <w:color w:val="auto"/>
          <w:sz w:val="22"/>
          <w:szCs w:val="22"/>
          <w:lang w:eastAsia="en-GB"/>
        </w:rPr>
        <w:t xml:space="preserve">high-quality formal childcare provision, </w:t>
      </w:r>
      <w:r w:rsidRPr="002179EE">
        <w:rPr>
          <w:rFonts w:asciiTheme="minorHAnsi" w:hAnsiTheme="minorHAnsi" w:cstheme="minorHAnsi"/>
          <w:color w:val="auto"/>
          <w:sz w:val="22"/>
          <w:szCs w:val="22"/>
        </w:rPr>
        <w:t>al</w:t>
      </w:r>
      <w:r w:rsidR="00916B98" w:rsidRPr="002179EE">
        <w:rPr>
          <w:rFonts w:asciiTheme="minorHAnsi" w:hAnsiTheme="minorHAnsi" w:cstheme="minorHAnsi"/>
          <w:color w:val="auto"/>
          <w:sz w:val="22"/>
          <w:szCs w:val="22"/>
        </w:rPr>
        <w:t>l early years</w:t>
      </w:r>
      <w:r w:rsidR="00A12CAB">
        <w:rPr>
          <w:rFonts w:asciiTheme="minorHAnsi" w:hAnsiTheme="minorHAnsi" w:cstheme="minorHAnsi"/>
          <w:color w:val="auto"/>
          <w:sz w:val="22"/>
          <w:szCs w:val="22"/>
        </w:rPr>
        <w:t>’</w:t>
      </w:r>
      <w:r w:rsidR="00916B98" w:rsidRPr="002179EE">
        <w:rPr>
          <w:rFonts w:asciiTheme="minorHAnsi" w:hAnsiTheme="minorHAnsi" w:cstheme="minorHAnsi"/>
          <w:color w:val="auto"/>
          <w:sz w:val="22"/>
          <w:szCs w:val="22"/>
        </w:rPr>
        <w:t xml:space="preserve"> practitioners need to have the requisite skills, knowledge, confidence and attitudes to promote language development, and identify and support children with speech, language and communication needs. </w:t>
      </w:r>
    </w:p>
    <w:p w14:paraId="5FD6F797" w14:textId="7C57FED2" w:rsidR="008D5CA6" w:rsidRPr="002179EE" w:rsidRDefault="00EF19CC" w:rsidP="00056FF5">
      <w:pPr>
        <w:pStyle w:val="Default"/>
        <w:numPr>
          <w:ilvl w:val="0"/>
          <w:numId w:val="6"/>
        </w:numPr>
        <w:spacing w:before="100" w:beforeAutospacing="1"/>
        <w:rPr>
          <w:rFonts w:asciiTheme="minorHAnsi" w:hAnsiTheme="minorHAnsi" w:cstheme="minorHAnsi"/>
          <w:b/>
          <w:color w:val="auto"/>
          <w:sz w:val="22"/>
          <w:szCs w:val="22"/>
        </w:rPr>
      </w:pPr>
      <w:r w:rsidRPr="002179EE">
        <w:rPr>
          <w:rFonts w:asciiTheme="minorHAnsi" w:hAnsiTheme="minorHAnsi" w:cstheme="minorHAnsi"/>
          <w:color w:val="auto"/>
          <w:sz w:val="22"/>
          <w:szCs w:val="22"/>
        </w:rPr>
        <w:t xml:space="preserve">Since the publication of the </w:t>
      </w:r>
      <w:r w:rsidR="003C5D75" w:rsidRPr="002179EE">
        <w:rPr>
          <w:rFonts w:asciiTheme="minorHAnsi" w:hAnsiTheme="minorHAnsi" w:cstheme="minorHAnsi"/>
          <w:color w:val="auto"/>
          <w:sz w:val="22"/>
          <w:szCs w:val="22"/>
        </w:rPr>
        <w:t xml:space="preserve">Welsh Government </w:t>
      </w:r>
      <w:hyperlink r:id="rId9" w:history="1">
        <w:r w:rsidRPr="000905CE">
          <w:rPr>
            <w:rStyle w:val="Hyperlink"/>
            <w:rFonts w:asciiTheme="minorHAnsi" w:hAnsiTheme="minorHAnsi" w:cstheme="minorHAnsi"/>
            <w:sz w:val="22"/>
            <w:szCs w:val="22"/>
          </w:rPr>
          <w:t>Tal</w:t>
        </w:r>
        <w:r w:rsidR="003C5D75" w:rsidRPr="000905CE">
          <w:rPr>
            <w:rStyle w:val="Hyperlink"/>
            <w:rFonts w:asciiTheme="minorHAnsi" w:hAnsiTheme="minorHAnsi" w:cstheme="minorHAnsi"/>
            <w:sz w:val="22"/>
            <w:szCs w:val="22"/>
          </w:rPr>
          <w:t>k</w:t>
        </w:r>
        <w:r w:rsidRPr="000905CE">
          <w:rPr>
            <w:rStyle w:val="Hyperlink"/>
            <w:rFonts w:asciiTheme="minorHAnsi" w:hAnsiTheme="minorHAnsi" w:cstheme="minorHAnsi"/>
            <w:sz w:val="22"/>
            <w:szCs w:val="22"/>
          </w:rPr>
          <w:t xml:space="preserve"> With Me: Speech, Language and Communication Deli</w:t>
        </w:r>
        <w:r w:rsidR="008D5CA6" w:rsidRPr="000905CE">
          <w:rPr>
            <w:rStyle w:val="Hyperlink"/>
            <w:rFonts w:asciiTheme="minorHAnsi" w:hAnsiTheme="minorHAnsi" w:cstheme="minorHAnsi"/>
            <w:sz w:val="22"/>
            <w:szCs w:val="22"/>
          </w:rPr>
          <w:t>v</w:t>
        </w:r>
        <w:r w:rsidRPr="000905CE">
          <w:rPr>
            <w:rStyle w:val="Hyperlink"/>
            <w:rFonts w:asciiTheme="minorHAnsi" w:hAnsiTheme="minorHAnsi" w:cstheme="minorHAnsi"/>
            <w:sz w:val="22"/>
            <w:szCs w:val="22"/>
          </w:rPr>
          <w:t>ery Plan</w:t>
        </w:r>
        <w:r w:rsidR="008D5CA6" w:rsidRPr="000905CE">
          <w:rPr>
            <w:rStyle w:val="Hyperlink"/>
            <w:rFonts w:asciiTheme="minorHAnsi" w:hAnsiTheme="minorHAnsi" w:cstheme="minorHAnsi"/>
            <w:sz w:val="22"/>
            <w:szCs w:val="22"/>
          </w:rPr>
          <w:t xml:space="preserve"> 2020</w:t>
        </w:r>
        <w:r w:rsidR="008046FC" w:rsidRPr="000905CE">
          <w:rPr>
            <w:rStyle w:val="Hyperlink"/>
            <w:rFonts w:asciiTheme="minorHAnsi" w:hAnsiTheme="minorHAnsi" w:cstheme="minorHAnsi"/>
            <w:sz w:val="22"/>
            <w:szCs w:val="22"/>
          </w:rPr>
          <w:t>-2022</w:t>
        </w:r>
      </w:hyperlink>
      <w:r w:rsidR="003C5D75" w:rsidRPr="002179EE">
        <w:rPr>
          <w:rFonts w:asciiTheme="minorHAnsi" w:hAnsiTheme="minorHAnsi" w:cstheme="minorHAnsi"/>
          <w:color w:val="auto"/>
          <w:sz w:val="22"/>
          <w:szCs w:val="22"/>
        </w:rPr>
        <w:t xml:space="preserve">, there have been a number of positive actions taken to </w:t>
      </w:r>
      <w:r w:rsidR="008D5CA6" w:rsidRPr="002179EE">
        <w:rPr>
          <w:rFonts w:asciiTheme="minorHAnsi" w:hAnsiTheme="minorHAnsi" w:cstheme="minorHAnsi"/>
          <w:color w:val="auto"/>
          <w:sz w:val="22"/>
          <w:szCs w:val="22"/>
        </w:rPr>
        <w:t>u</w:t>
      </w:r>
      <w:r w:rsidR="003C5D75" w:rsidRPr="002179EE">
        <w:rPr>
          <w:rFonts w:asciiTheme="minorHAnsi" w:hAnsiTheme="minorHAnsi" w:cstheme="minorHAnsi"/>
          <w:color w:val="auto"/>
          <w:sz w:val="22"/>
          <w:szCs w:val="22"/>
        </w:rPr>
        <w:t xml:space="preserve">pskill the childcare, health and social care workforce in Wales to address </w:t>
      </w:r>
      <w:r w:rsidR="002179EE">
        <w:rPr>
          <w:rFonts w:asciiTheme="minorHAnsi" w:hAnsiTheme="minorHAnsi" w:cstheme="minorHAnsi"/>
          <w:color w:val="auto"/>
          <w:sz w:val="22"/>
          <w:szCs w:val="22"/>
        </w:rPr>
        <w:t>speech, language and communication (</w:t>
      </w:r>
      <w:r w:rsidR="003C5D75" w:rsidRPr="002179EE">
        <w:rPr>
          <w:rFonts w:asciiTheme="minorHAnsi" w:hAnsiTheme="minorHAnsi" w:cstheme="minorHAnsi"/>
          <w:color w:val="auto"/>
          <w:sz w:val="22"/>
          <w:szCs w:val="22"/>
        </w:rPr>
        <w:t>SLC</w:t>
      </w:r>
      <w:r w:rsidR="002179EE">
        <w:rPr>
          <w:rFonts w:asciiTheme="minorHAnsi" w:hAnsiTheme="minorHAnsi" w:cstheme="minorHAnsi"/>
          <w:color w:val="auto"/>
          <w:sz w:val="22"/>
          <w:szCs w:val="22"/>
        </w:rPr>
        <w:t>)</w:t>
      </w:r>
      <w:r w:rsidR="003C5D75" w:rsidRPr="002179EE">
        <w:rPr>
          <w:rFonts w:asciiTheme="minorHAnsi" w:hAnsiTheme="minorHAnsi" w:cstheme="minorHAnsi"/>
          <w:color w:val="auto"/>
          <w:sz w:val="22"/>
          <w:szCs w:val="22"/>
        </w:rPr>
        <w:t xml:space="preserve"> needs. </w:t>
      </w:r>
      <w:r w:rsidR="008046FC">
        <w:rPr>
          <w:rFonts w:asciiTheme="minorHAnsi" w:hAnsiTheme="minorHAnsi" w:cstheme="minorHAnsi"/>
          <w:color w:val="auto"/>
          <w:sz w:val="22"/>
          <w:szCs w:val="22"/>
        </w:rPr>
        <w:t xml:space="preserve"> </w:t>
      </w:r>
      <w:r w:rsidR="003C5D75" w:rsidRPr="002179EE">
        <w:rPr>
          <w:rFonts w:asciiTheme="minorHAnsi" w:hAnsiTheme="minorHAnsi" w:cstheme="minorHAnsi"/>
          <w:color w:val="auto"/>
          <w:sz w:val="22"/>
          <w:szCs w:val="22"/>
        </w:rPr>
        <w:t xml:space="preserve">This area </w:t>
      </w:r>
      <w:r w:rsidR="00245E37" w:rsidRPr="002179EE">
        <w:rPr>
          <w:rFonts w:asciiTheme="minorHAnsi" w:hAnsiTheme="minorHAnsi" w:cstheme="minorHAnsi"/>
          <w:color w:val="auto"/>
          <w:sz w:val="22"/>
          <w:szCs w:val="22"/>
        </w:rPr>
        <w:t>requires</w:t>
      </w:r>
      <w:r w:rsidR="003C5D75" w:rsidRPr="002179EE">
        <w:rPr>
          <w:rFonts w:asciiTheme="minorHAnsi" w:hAnsiTheme="minorHAnsi" w:cstheme="minorHAnsi"/>
          <w:color w:val="auto"/>
          <w:sz w:val="22"/>
          <w:szCs w:val="22"/>
        </w:rPr>
        <w:t xml:space="preserve"> sustained focus. </w:t>
      </w:r>
    </w:p>
    <w:p w14:paraId="7D6E441A" w14:textId="39AAC591" w:rsidR="002179EE" w:rsidRDefault="002179EE">
      <w:pPr>
        <w:rPr>
          <w:rFonts w:cstheme="minorHAnsi"/>
          <w:b/>
        </w:rPr>
      </w:pPr>
      <w:r>
        <w:rPr>
          <w:rFonts w:cstheme="minorHAnsi"/>
          <w:b/>
        </w:rPr>
        <w:br w:type="page"/>
      </w:r>
    </w:p>
    <w:p w14:paraId="6BA3D4CF" w14:textId="54E55803" w:rsidR="0058264F" w:rsidRPr="002179EE" w:rsidRDefault="0058264F" w:rsidP="008D5CA6">
      <w:pPr>
        <w:pStyle w:val="Default"/>
        <w:spacing w:before="100" w:beforeAutospacing="1"/>
        <w:ind w:left="360"/>
        <w:rPr>
          <w:rFonts w:asciiTheme="minorHAnsi" w:hAnsiTheme="minorHAnsi" w:cstheme="minorHAnsi"/>
          <w:b/>
          <w:color w:val="auto"/>
          <w:sz w:val="22"/>
          <w:szCs w:val="22"/>
        </w:rPr>
      </w:pPr>
      <w:r w:rsidRPr="002179EE">
        <w:rPr>
          <w:rFonts w:asciiTheme="minorHAnsi" w:hAnsiTheme="minorHAnsi" w:cstheme="minorHAnsi"/>
          <w:b/>
          <w:color w:val="auto"/>
          <w:sz w:val="22"/>
          <w:szCs w:val="22"/>
        </w:rPr>
        <w:lastRenderedPageBreak/>
        <w:t>About the Royal College of Speech and Language Therapists (RCSLT)</w:t>
      </w:r>
    </w:p>
    <w:p w14:paraId="0728097B" w14:textId="56D7ABAF" w:rsidR="0058264F" w:rsidRPr="002179EE" w:rsidRDefault="0058264F" w:rsidP="0058264F">
      <w:pPr>
        <w:pStyle w:val="ListParagraph"/>
        <w:numPr>
          <w:ilvl w:val="0"/>
          <w:numId w:val="1"/>
        </w:numPr>
        <w:spacing w:before="100" w:beforeAutospacing="1" w:line="240" w:lineRule="auto"/>
        <w:rPr>
          <w:rFonts w:cstheme="minorHAnsi"/>
        </w:rPr>
      </w:pPr>
      <w:r w:rsidRPr="002179EE">
        <w:rPr>
          <w:rFonts w:cstheme="minorHAnsi"/>
        </w:rPr>
        <w:t xml:space="preserve">RCSLT is the professional body for speech and language therapists, SLT students and support workers working in the UK. </w:t>
      </w:r>
      <w:r w:rsidR="000905CE">
        <w:rPr>
          <w:rFonts w:cstheme="minorHAnsi"/>
        </w:rPr>
        <w:t xml:space="preserve"> </w:t>
      </w:r>
      <w:r w:rsidRPr="002179EE">
        <w:rPr>
          <w:rFonts w:cstheme="minorHAnsi"/>
        </w:rPr>
        <w:t>The RCSLT has over 18,000 members in the UK (650 in Wales) representing approximately 95% of SLTs working in the UK (who are registered with the Health &amp; Care Professions Council).  We promote excellence in practice and influence health, education, care and justice policies.</w:t>
      </w:r>
    </w:p>
    <w:p w14:paraId="260065F6" w14:textId="77777777" w:rsidR="0058264F" w:rsidRPr="002179EE" w:rsidRDefault="0058264F" w:rsidP="0058264F">
      <w:pPr>
        <w:pStyle w:val="NormalWeb"/>
        <w:numPr>
          <w:ilvl w:val="0"/>
          <w:numId w:val="1"/>
        </w:numPr>
        <w:spacing w:before="100" w:beforeAutospacing="1" w:after="160"/>
        <w:rPr>
          <w:rFonts w:asciiTheme="minorHAnsi" w:hAnsiTheme="minorHAnsi" w:cstheme="minorHAnsi"/>
          <w:sz w:val="22"/>
          <w:szCs w:val="22"/>
        </w:rPr>
      </w:pPr>
      <w:r w:rsidRPr="002179EE">
        <w:rPr>
          <w:rFonts w:asciiTheme="minorHAnsi" w:hAnsiTheme="minorHAnsi" w:cstheme="minorHAnsi"/>
          <w:sz w:val="22"/>
          <w:szCs w:val="22"/>
        </w:rPr>
        <w:t>Speech and Language Therapy manages the risk of harm and reduces functional impact for people with speech, language and communication support needs (SLCN) and/or swallowing difficulties.</w:t>
      </w:r>
    </w:p>
    <w:p w14:paraId="785463A2" w14:textId="77777777" w:rsidR="0058264F" w:rsidRPr="002179EE" w:rsidRDefault="0058264F" w:rsidP="0058264F">
      <w:pPr>
        <w:pStyle w:val="NormalWeb"/>
        <w:numPr>
          <w:ilvl w:val="0"/>
          <w:numId w:val="1"/>
        </w:numPr>
        <w:spacing w:before="100" w:beforeAutospacing="1" w:after="160"/>
        <w:rPr>
          <w:rFonts w:asciiTheme="minorHAnsi" w:hAnsiTheme="minorHAnsi" w:cstheme="minorHAnsi"/>
          <w:b/>
          <w:sz w:val="22"/>
          <w:szCs w:val="22"/>
          <w:lang w:val="en"/>
        </w:rPr>
      </w:pPr>
      <w:r w:rsidRPr="002179EE">
        <w:rPr>
          <w:rFonts w:asciiTheme="minorHAnsi" w:hAnsiTheme="minorHAnsi" w:cstheme="minorHAnsi"/>
          <w:sz w:val="22"/>
          <w:szCs w:val="22"/>
        </w:rPr>
        <w:t xml:space="preserve">Speech and Language Therapists (SLTs) are experts in supporting children, young people and adults with speech, language and communication needs and training the wider workforce so that they can identify the signs of SLCN, improve communication environments and provide effective support.  </w:t>
      </w:r>
    </w:p>
    <w:p w14:paraId="587F32D0" w14:textId="77777777" w:rsidR="0058264F" w:rsidRPr="002179EE" w:rsidRDefault="0058264F" w:rsidP="0058264F">
      <w:pPr>
        <w:pStyle w:val="NormalWeb"/>
        <w:spacing w:before="100" w:beforeAutospacing="1" w:after="160"/>
        <w:ind w:left="810"/>
        <w:rPr>
          <w:rFonts w:asciiTheme="minorHAnsi" w:hAnsiTheme="minorHAnsi" w:cstheme="minorHAnsi"/>
          <w:sz w:val="22"/>
          <w:szCs w:val="22"/>
        </w:rPr>
      </w:pPr>
    </w:p>
    <w:p w14:paraId="2F5CB759" w14:textId="57961C97" w:rsidR="0058264F" w:rsidRPr="002179EE" w:rsidRDefault="0058264F" w:rsidP="00E21511">
      <w:pPr>
        <w:shd w:val="clear" w:color="auto" w:fill="FFFFFF"/>
        <w:spacing w:after="0" w:line="240" w:lineRule="auto"/>
        <w:textAlignment w:val="baseline"/>
        <w:rPr>
          <w:rFonts w:eastAsia="Times New Roman" w:cstheme="minorHAnsi"/>
          <w:b/>
          <w:bCs/>
          <w:u w:val="single"/>
          <w:lang w:eastAsia="en-GB"/>
        </w:rPr>
      </w:pPr>
      <w:r w:rsidRPr="002179EE">
        <w:rPr>
          <w:rFonts w:eastAsia="Times New Roman" w:cstheme="minorHAnsi"/>
          <w:b/>
          <w:bCs/>
          <w:u w:val="single"/>
          <w:lang w:eastAsia="en-GB"/>
        </w:rPr>
        <w:t>The impact of high-quality formal childcare provision on reducing the attainment gap, and the potential benefits of extending childcare provision to tackle inequalities.</w:t>
      </w:r>
    </w:p>
    <w:p w14:paraId="0CAF421A" w14:textId="77777777" w:rsidR="002179EE" w:rsidRPr="002179EE" w:rsidRDefault="002179EE" w:rsidP="0058264F">
      <w:pPr>
        <w:pStyle w:val="NormalWeb"/>
        <w:spacing w:before="100" w:beforeAutospacing="1" w:after="160"/>
        <w:ind w:left="810"/>
        <w:rPr>
          <w:rFonts w:asciiTheme="minorHAnsi" w:hAnsiTheme="minorHAnsi" w:cstheme="minorHAnsi"/>
          <w:b/>
          <w:bCs/>
          <w:sz w:val="22"/>
          <w:szCs w:val="22"/>
          <w:u w:val="single"/>
          <w:lang w:val="en"/>
        </w:rPr>
      </w:pPr>
    </w:p>
    <w:p w14:paraId="5FE1F181" w14:textId="5797ABA4" w:rsidR="00E3658B" w:rsidRPr="002179EE" w:rsidRDefault="00E3658B" w:rsidP="00553D47">
      <w:pPr>
        <w:pStyle w:val="ListParagraph"/>
        <w:numPr>
          <w:ilvl w:val="0"/>
          <w:numId w:val="9"/>
        </w:numPr>
        <w:spacing w:after="0" w:line="240" w:lineRule="auto"/>
        <w:jc w:val="both"/>
        <w:rPr>
          <w:rFonts w:cstheme="minorHAnsi"/>
          <w:b/>
        </w:rPr>
      </w:pPr>
      <w:r w:rsidRPr="002179EE">
        <w:rPr>
          <w:rFonts w:cstheme="minorHAnsi"/>
        </w:rPr>
        <w:t xml:space="preserve">Good early language skills are central to children’s early years development and school readiness.  They play a crucial role in literacy, a child’s ability to achieve their educational potential, their social mobility, and their life chances.  Beyond academic attainment, well-developed speech, language and communication skills are fundamental to the ability to form and maintain social relationships with family, peers and friends.  </w:t>
      </w:r>
    </w:p>
    <w:p w14:paraId="70A09974" w14:textId="77777777" w:rsidR="001E7CC2" w:rsidRPr="002179EE" w:rsidRDefault="001E7CC2" w:rsidP="001E7CC2">
      <w:pPr>
        <w:pStyle w:val="ListParagraph"/>
        <w:spacing w:after="0" w:line="240" w:lineRule="auto"/>
        <w:jc w:val="both"/>
        <w:rPr>
          <w:rFonts w:cstheme="minorHAnsi"/>
          <w:b/>
        </w:rPr>
      </w:pPr>
    </w:p>
    <w:p w14:paraId="30E2B26C" w14:textId="1DEF79A5" w:rsidR="00E3658B" w:rsidRPr="002179EE" w:rsidRDefault="00E3658B" w:rsidP="00E3658B">
      <w:pPr>
        <w:pStyle w:val="ListParagraph"/>
        <w:numPr>
          <w:ilvl w:val="0"/>
          <w:numId w:val="9"/>
        </w:numPr>
        <w:spacing w:after="0" w:line="240" w:lineRule="auto"/>
        <w:jc w:val="both"/>
        <w:rPr>
          <w:rFonts w:cstheme="minorHAnsi"/>
          <w:b/>
        </w:rPr>
      </w:pPr>
      <w:r w:rsidRPr="002179EE">
        <w:rPr>
          <w:rFonts w:cstheme="minorHAnsi"/>
        </w:rPr>
        <w:t>Not all children have the speech, language, and communication skills they need to fully engage with their education.  It is estimated that 10% of all children in the UK have long-term, persistent speech, language and communication needs (SLCN)</w:t>
      </w:r>
      <w:r w:rsidRPr="002179EE">
        <w:rPr>
          <w:rStyle w:val="FootnoteReference"/>
          <w:rFonts w:cstheme="minorHAnsi"/>
        </w:rPr>
        <w:footnoteReference w:id="1"/>
      </w:r>
      <w:r w:rsidRPr="002179EE">
        <w:rPr>
          <w:rFonts w:cstheme="minorHAnsi"/>
        </w:rPr>
        <w:t>.  Research shows that there is a strong correlation however between poverty and delay</w:t>
      </w:r>
      <w:r w:rsidR="002179EE">
        <w:rPr>
          <w:rFonts w:cstheme="minorHAnsi"/>
        </w:rPr>
        <w:t>ed language</w:t>
      </w:r>
      <w:r w:rsidRPr="002179EE">
        <w:rPr>
          <w:rFonts w:cstheme="minorHAnsi"/>
        </w:rPr>
        <w:t>.  By which we mean, those children whose language skills are developing significantly more slowly than those of other children of the same age but who do not have a specific disorder.  Studies of whole populations reveal a clear social gradient for language development, with children from the most disadvantaged groups more likely to have weaker language skills than those in more advantaged groups.</w:t>
      </w:r>
      <w:r w:rsidRPr="002179EE">
        <w:rPr>
          <w:rStyle w:val="FootnoteReference"/>
          <w:rFonts w:cstheme="minorHAnsi"/>
        </w:rPr>
        <w:footnoteReference w:id="2"/>
      </w:r>
      <w:r w:rsidRPr="002179EE">
        <w:rPr>
          <w:rFonts w:cstheme="minorHAnsi"/>
        </w:rPr>
        <w:t xml:space="preserve">  Language skills are a critical factor in the intergenerational cycles that can perpetuate poverty</w:t>
      </w:r>
      <w:r w:rsidRPr="002179EE">
        <w:rPr>
          <w:rStyle w:val="FootnoteReference"/>
          <w:rFonts w:cstheme="minorHAnsi"/>
        </w:rPr>
        <w:footnoteReference w:id="3"/>
      </w:r>
      <w:r w:rsidRPr="002179EE">
        <w:rPr>
          <w:rFonts w:cstheme="minorHAnsi"/>
        </w:rPr>
        <w:t xml:space="preserve">.  </w:t>
      </w:r>
    </w:p>
    <w:p w14:paraId="03E3AD02" w14:textId="77777777" w:rsidR="00E3658B" w:rsidRPr="002179EE" w:rsidRDefault="00E3658B" w:rsidP="00E3658B">
      <w:pPr>
        <w:pStyle w:val="ListParagraph"/>
        <w:rPr>
          <w:rFonts w:cstheme="minorHAnsi"/>
          <w:b/>
        </w:rPr>
      </w:pPr>
    </w:p>
    <w:p w14:paraId="4C219D9D" w14:textId="00638F3C" w:rsidR="00A12CAB" w:rsidRDefault="00A12CAB">
      <w:pPr>
        <w:rPr>
          <w:rFonts w:cstheme="minorHAnsi"/>
          <w:b/>
          <w:bCs/>
          <w:u w:val="single"/>
        </w:rPr>
      </w:pPr>
      <w:r>
        <w:rPr>
          <w:rFonts w:cstheme="minorHAnsi"/>
          <w:b/>
          <w:bCs/>
          <w:u w:val="single"/>
        </w:rPr>
        <w:br w:type="page"/>
      </w:r>
    </w:p>
    <w:p w14:paraId="5CDC0489" w14:textId="5050F05A" w:rsidR="00245E37" w:rsidRPr="00DD450E" w:rsidRDefault="00245E37" w:rsidP="00245E37">
      <w:pPr>
        <w:pStyle w:val="Default"/>
        <w:spacing w:after="37"/>
        <w:rPr>
          <w:rFonts w:asciiTheme="minorHAnsi" w:hAnsiTheme="minorHAnsi" w:cstheme="minorHAnsi"/>
          <w:b/>
          <w:bCs/>
          <w:color w:val="auto"/>
          <w:sz w:val="22"/>
          <w:szCs w:val="22"/>
          <w:u w:val="single"/>
        </w:rPr>
      </w:pPr>
      <w:r w:rsidRPr="00DD450E">
        <w:rPr>
          <w:rFonts w:asciiTheme="minorHAnsi" w:hAnsiTheme="minorHAnsi" w:cstheme="minorHAnsi"/>
          <w:b/>
          <w:bCs/>
          <w:color w:val="auto"/>
          <w:sz w:val="22"/>
          <w:szCs w:val="22"/>
          <w:u w:val="single"/>
        </w:rPr>
        <w:lastRenderedPageBreak/>
        <w:t>Key statistics</w:t>
      </w:r>
    </w:p>
    <w:p w14:paraId="4234BE1E" w14:textId="77777777" w:rsidR="00245E37" w:rsidRPr="002179EE" w:rsidRDefault="00245E37" w:rsidP="00245E37">
      <w:pPr>
        <w:pStyle w:val="Default"/>
        <w:spacing w:after="37"/>
        <w:rPr>
          <w:rFonts w:asciiTheme="minorHAnsi" w:hAnsiTheme="minorHAnsi" w:cstheme="minorHAnsi"/>
          <w:color w:val="auto"/>
          <w:sz w:val="22"/>
          <w:szCs w:val="22"/>
        </w:rPr>
      </w:pPr>
    </w:p>
    <w:p w14:paraId="5070DC0D" w14:textId="7FA6EF3C" w:rsidR="00E3658B" w:rsidRPr="002179EE" w:rsidRDefault="00E3658B" w:rsidP="00245E37">
      <w:pPr>
        <w:pStyle w:val="Default"/>
        <w:numPr>
          <w:ilvl w:val="0"/>
          <w:numId w:val="15"/>
        </w:numPr>
        <w:spacing w:after="37"/>
        <w:rPr>
          <w:rFonts w:asciiTheme="minorHAnsi" w:hAnsiTheme="minorHAnsi" w:cstheme="minorHAnsi"/>
          <w:color w:val="auto"/>
          <w:sz w:val="22"/>
          <w:szCs w:val="22"/>
        </w:rPr>
      </w:pPr>
      <w:r w:rsidRPr="002179EE">
        <w:rPr>
          <w:rFonts w:asciiTheme="minorHAnsi" w:hAnsiTheme="minorHAnsi" w:cstheme="minorHAnsi"/>
          <w:color w:val="auto"/>
          <w:sz w:val="22"/>
          <w:szCs w:val="22"/>
        </w:rPr>
        <w:t xml:space="preserve">Over </w:t>
      </w:r>
      <w:r w:rsidRPr="002179EE">
        <w:rPr>
          <w:rFonts w:asciiTheme="minorHAnsi" w:hAnsiTheme="minorHAnsi" w:cstheme="minorHAnsi"/>
          <w:b/>
          <w:bCs/>
          <w:color w:val="auto"/>
          <w:sz w:val="22"/>
          <w:szCs w:val="22"/>
        </w:rPr>
        <w:t>50%</w:t>
      </w:r>
      <w:r w:rsidRPr="002179EE">
        <w:rPr>
          <w:rFonts w:asciiTheme="minorHAnsi" w:hAnsiTheme="minorHAnsi" w:cstheme="minorHAnsi"/>
          <w:color w:val="auto"/>
          <w:sz w:val="22"/>
          <w:szCs w:val="22"/>
        </w:rPr>
        <w:t xml:space="preserve"> of children in socially deprived areas may start school with impoverished speech, language and communication skills</w:t>
      </w:r>
      <w:r w:rsidRPr="002179EE">
        <w:rPr>
          <w:rStyle w:val="FootnoteReference"/>
          <w:rFonts w:asciiTheme="minorHAnsi" w:hAnsiTheme="minorHAnsi" w:cstheme="minorHAnsi"/>
          <w:color w:val="auto"/>
          <w:sz w:val="22"/>
          <w:szCs w:val="22"/>
        </w:rPr>
        <w:footnoteReference w:id="4"/>
      </w:r>
      <w:r w:rsidRPr="002179EE">
        <w:rPr>
          <w:rFonts w:asciiTheme="minorHAnsi" w:hAnsiTheme="minorHAnsi" w:cstheme="minorHAnsi"/>
          <w:color w:val="auto"/>
          <w:sz w:val="22"/>
          <w:szCs w:val="22"/>
        </w:rPr>
        <w:t xml:space="preserve"> </w:t>
      </w:r>
    </w:p>
    <w:p w14:paraId="18CB152B" w14:textId="173385C2" w:rsidR="00245E37" w:rsidRDefault="00E3658B" w:rsidP="00245E37">
      <w:pPr>
        <w:pStyle w:val="Default"/>
        <w:numPr>
          <w:ilvl w:val="0"/>
          <w:numId w:val="15"/>
        </w:numPr>
        <w:rPr>
          <w:rFonts w:asciiTheme="minorHAnsi" w:hAnsiTheme="minorHAnsi" w:cstheme="minorHAnsi"/>
          <w:color w:val="auto"/>
          <w:sz w:val="22"/>
          <w:szCs w:val="22"/>
        </w:rPr>
      </w:pPr>
      <w:r w:rsidRPr="002179EE">
        <w:rPr>
          <w:rFonts w:asciiTheme="minorHAnsi" w:hAnsiTheme="minorHAnsi" w:cstheme="minorHAnsi"/>
          <w:color w:val="auto"/>
          <w:sz w:val="22"/>
          <w:szCs w:val="22"/>
        </w:rPr>
        <w:t xml:space="preserve">On average children from the poorest </w:t>
      </w:r>
      <w:r w:rsidRPr="00DD450E">
        <w:rPr>
          <w:rFonts w:asciiTheme="minorHAnsi" w:hAnsiTheme="minorHAnsi" w:cstheme="minorHAnsi"/>
          <w:b/>
          <w:bCs/>
          <w:color w:val="auto"/>
          <w:sz w:val="22"/>
          <w:szCs w:val="22"/>
        </w:rPr>
        <w:t>20%</w:t>
      </w:r>
      <w:r w:rsidRPr="002179EE">
        <w:rPr>
          <w:rFonts w:asciiTheme="minorHAnsi" w:hAnsiTheme="minorHAnsi" w:cstheme="minorHAnsi"/>
          <w:color w:val="auto"/>
          <w:sz w:val="22"/>
          <w:szCs w:val="22"/>
        </w:rPr>
        <w:t xml:space="preserve"> of the population are over </w:t>
      </w:r>
      <w:r w:rsidRPr="002179EE">
        <w:rPr>
          <w:rFonts w:asciiTheme="minorHAnsi" w:hAnsiTheme="minorHAnsi" w:cstheme="minorHAnsi"/>
          <w:b/>
          <w:bCs/>
          <w:color w:val="auto"/>
          <w:sz w:val="22"/>
          <w:szCs w:val="22"/>
        </w:rPr>
        <w:t>17 months</w:t>
      </w:r>
      <w:r w:rsidRPr="002179EE">
        <w:rPr>
          <w:rFonts w:asciiTheme="minorHAnsi" w:hAnsiTheme="minorHAnsi" w:cstheme="minorHAnsi"/>
          <w:color w:val="auto"/>
          <w:sz w:val="22"/>
          <w:szCs w:val="22"/>
        </w:rPr>
        <w:t xml:space="preserve"> behind a child in the highest income group in language development at age three.</w:t>
      </w:r>
      <w:r w:rsidRPr="002179EE">
        <w:rPr>
          <w:rStyle w:val="FootnoteReference"/>
          <w:rFonts w:asciiTheme="minorHAnsi" w:hAnsiTheme="minorHAnsi" w:cstheme="minorHAnsi"/>
          <w:color w:val="auto"/>
          <w:sz w:val="22"/>
          <w:szCs w:val="22"/>
        </w:rPr>
        <w:footnoteReference w:id="5"/>
      </w:r>
    </w:p>
    <w:p w14:paraId="05420153" w14:textId="1437BC4E" w:rsidR="00E3658B" w:rsidRPr="002179EE" w:rsidRDefault="00E3658B" w:rsidP="00245E37">
      <w:pPr>
        <w:pStyle w:val="Default"/>
        <w:numPr>
          <w:ilvl w:val="0"/>
          <w:numId w:val="15"/>
        </w:numPr>
        <w:rPr>
          <w:rFonts w:asciiTheme="minorHAnsi" w:hAnsiTheme="minorHAnsi" w:cstheme="minorHAnsi"/>
          <w:color w:val="auto"/>
          <w:sz w:val="22"/>
          <w:szCs w:val="22"/>
        </w:rPr>
      </w:pPr>
      <w:r w:rsidRPr="002179EE">
        <w:rPr>
          <w:rFonts w:asciiTheme="minorHAnsi" w:eastAsia="Calibri" w:hAnsiTheme="minorHAnsi" w:cstheme="minorHAnsi"/>
          <w:color w:val="auto"/>
          <w:sz w:val="22"/>
          <w:szCs w:val="22"/>
          <w:lang w:eastAsia="en-GB"/>
        </w:rPr>
        <w:t>Vocabulary at age 5 has been found to be the best predictor (from a range of measures at age 5 and 10) of whether children who experienced social deprivation in childhood were able to ‘buck the trend’ and escape poverty in later adult life</w:t>
      </w:r>
      <w:r w:rsidRPr="002179EE">
        <w:rPr>
          <w:rStyle w:val="FootnoteReference"/>
          <w:rFonts w:asciiTheme="minorHAnsi" w:eastAsia="Calibri" w:hAnsiTheme="minorHAnsi" w:cstheme="minorHAnsi"/>
          <w:color w:val="auto"/>
          <w:sz w:val="22"/>
          <w:szCs w:val="22"/>
          <w:lang w:eastAsia="en-GB"/>
        </w:rPr>
        <w:footnoteReference w:id="6"/>
      </w:r>
      <w:r w:rsidR="0028005F">
        <w:rPr>
          <w:rFonts w:asciiTheme="minorHAnsi" w:eastAsia="Calibri" w:hAnsiTheme="minorHAnsi" w:cstheme="minorHAnsi"/>
          <w:color w:val="auto"/>
          <w:sz w:val="22"/>
          <w:szCs w:val="22"/>
          <w:lang w:eastAsia="en-GB"/>
        </w:rPr>
        <w:t>.</w:t>
      </w:r>
      <w:r w:rsidRPr="002179EE">
        <w:rPr>
          <w:rFonts w:asciiTheme="minorHAnsi" w:eastAsia="Calibri" w:hAnsiTheme="minorHAnsi" w:cstheme="minorHAnsi"/>
          <w:color w:val="auto"/>
          <w:sz w:val="22"/>
          <w:szCs w:val="22"/>
          <w:lang w:eastAsia="en-GB"/>
        </w:rPr>
        <w:t xml:space="preserve">  Researchers have found that, after controlling for a range of other factors that might have played a part (mother’s educational level, overcrowding, low birth weight, parent a poor reader, etc), </w:t>
      </w:r>
      <w:r w:rsidRPr="00DD450E">
        <w:rPr>
          <w:rFonts w:asciiTheme="minorHAnsi" w:eastAsia="Calibri" w:hAnsiTheme="minorHAnsi" w:cstheme="minorHAnsi"/>
          <w:b/>
          <w:bCs/>
          <w:color w:val="auto"/>
          <w:sz w:val="22"/>
          <w:szCs w:val="22"/>
          <w:lang w:eastAsia="en-GB"/>
        </w:rPr>
        <w:t>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Pr="00DD450E">
        <w:rPr>
          <w:rStyle w:val="FootnoteReference"/>
          <w:rFonts w:asciiTheme="minorHAnsi" w:eastAsia="Calibri" w:hAnsiTheme="minorHAnsi" w:cstheme="minorHAnsi"/>
          <w:b/>
          <w:bCs/>
          <w:color w:val="auto"/>
          <w:sz w:val="22"/>
          <w:szCs w:val="22"/>
          <w:lang w:eastAsia="en-GB"/>
        </w:rPr>
        <w:footnoteReference w:id="7"/>
      </w:r>
    </w:p>
    <w:p w14:paraId="5C2B1950" w14:textId="77777777" w:rsidR="001B0A23" w:rsidRPr="002179EE" w:rsidRDefault="001B0A23" w:rsidP="001B0A23">
      <w:pPr>
        <w:rPr>
          <w:rFonts w:cstheme="minorHAnsi"/>
          <w:b/>
        </w:rPr>
      </w:pPr>
    </w:p>
    <w:p w14:paraId="007D9DFE" w14:textId="73BF3C27" w:rsidR="002179EE" w:rsidRPr="002179EE" w:rsidRDefault="001B0A23" w:rsidP="002179EE">
      <w:pPr>
        <w:spacing w:after="0" w:line="240" w:lineRule="auto"/>
        <w:ind w:left="360"/>
        <w:jc w:val="both"/>
        <w:rPr>
          <w:rFonts w:cstheme="minorHAnsi"/>
        </w:rPr>
      </w:pPr>
      <w:r w:rsidRPr="002179EE">
        <w:rPr>
          <w:rFonts w:cstheme="minorHAnsi"/>
        </w:rPr>
        <w:t>There is an increasing focus on children’s speech, language and communication skills within early years’ policy in Wales, both within the home environment and within early year</w:t>
      </w:r>
      <w:r w:rsidR="00D45EEC">
        <w:rPr>
          <w:rFonts w:cstheme="minorHAnsi"/>
        </w:rPr>
        <w:t>s</w:t>
      </w:r>
      <w:r w:rsidRPr="002179EE">
        <w:rPr>
          <w:rFonts w:cstheme="minorHAnsi"/>
        </w:rPr>
        <w:t xml:space="preserve"> provision.  The strongest influence on the early language skills of young children are their parents and carers.  Poverty can strongly reduce parents’ ability to respond to their child’s early language needs and offer a home learning environment that enhances language skills in the early years</w:t>
      </w:r>
      <w:r w:rsidRPr="002179EE">
        <w:rPr>
          <w:rStyle w:val="FootnoteReference"/>
          <w:rFonts w:cstheme="minorHAnsi"/>
        </w:rPr>
        <w:footnoteReference w:id="8"/>
      </w:r>
      <w:r w:rsidRPr="002179EE">
        <w:rPr>
          <w:rFonts w:cstheme="minorHAnsi"/>
        </w:rPr>
        <w:t xml:space="preserve">.  Supporting parents to foster a communication and language rich home environment is fundamental to improving children’s early speech, language and </w:t>
      </w:r>
      <w:r w:rsidR="001E7CC2" w:rsidRPr="002179EE">
        <w:rPr>
          <w:rFonts w:cstheme="minorHAnsi"/>
        </w:rPr>
        <w:t>communication</w:t>
      </w:r>
      <w:r w:rsidR="00245E37" w:rsidRPr="002179EE">
        <w:rPr>
          <w:rFonts w:cstheme="minorHAnsi"/>
        </w:rPr>
        <w:t xml:space="preserve"> skills</w:t>
      </w:r>
      <w:r w:rsidR="001E7CC2" w:rsidRPr="002179EE">
        <w:rPr>
          <w:rFonts w:cstheme="minorHAnsi"/>
        </w:rPr>
        <w:t xml:space="preserve">.  </w:t>
      </w:r>
    </w:p>
    <w:p w14:paraId="2674F035" w14:textId="6F2FE789" w:rsidR="002507CA" w:rsidRPr="002179EE" w:rsidRDefault="002507CA" w:rsidP="001E7CC2">
      <w:pPr>
        <w:spacing w:after="0" w:line="240" w:lineRule="auto"/>
        <w:ind w:left="360"/>
        <w:jc w:val="both"/>
        <w:rPr>
          <w:rFonts w:cstheme="minorHAnsi"/>
        </w:rPr>
      </w:pPr>
    </w:p>
    <w:p w14:paraId="4D393CEB" w14:textId="40C14113" w:rsidR="00A82537" w:rsidRPr="002179EE" w:rsidRDefault="002507CA" w:rsidP="001E7CC2">
      <w:pPr>
        <w:spacing w:after="0" w:line="240" w:lineRule="auto"/>
        <w:ind w:left="360"/>
        <w:jc w:val="both"/>
        <w:rPr>
          <w:rFonts w:cstheme="minorHAnsi"/>
        </w:rPr>
      </w:pPr>
      <w:r w:rsidRPr="002179EE">
        <w:rPr>
          <w:rFonts w:cstheme="minorHAnsi"/>
        </w:rPr>
        <w:t>Beyond the home environment, there is strong evidence of the benefits of high</w:t>
      </w:r>
      <w:r w:rsidR="00A12CAB">
        <w:rPr>
          <w:rFonts w:cstheme="minorHAnsi"/>
        </w:rPr>
        <w:t>-</w:t>
      </w:r>
      <w:r w:rsidRPr="002179EE">
        <w:rPr>
          <w:rFonts w:cstheme="minorHAnsi"/>
        </w:rPr>
        <w:t>quality early education and childcare from the perspective of vocabulary and literacy development</w:t>
      </w:r>
      <w:r w:rsidRPr="002179EE">
        <w:rPr>
          <w:rStyle w:val="FootnoteReference"/>
          <w:rFonts w:cstheme="minorHAnsi"/>
        </w:rPr>
        <w:footnoteReference w:id="9"/>
      </w:r>
      <w:r w:rsidRPr="002179EE">
        <w:rPr>
          <w:rFonts w:cstheme="minorHAnsi"/>
        </w:rPr>
        <w:t>.  Early years practitioners have a crucial role</w:t>
      </w:r>
      <w:r w:rsidR="00D60793" w:rsidRPr="002179EE">
        <w:rPr>
          <w:rFonts w:cstheme="minorHAnsi"/>
        </w:rPr>
        <w:t xml:space="preserve"> to play</w:t>
      </w:r>
      <w:r w:rsidRPr="002179EE">
        <w:rPr>
          <w:rFonts w:cstheme="minorHAnsi"/>
        </w:rPr>
        <w:t xml:space="preserve"> in supporting children’s development.  They share the early learning and skills that provide the foundation for school readiness and support good future progress through education and later life.  The early years workforce is also vital in closing the language gap between children from high</w:t>
      </w:r>
      <w:r w:rsidR="00A12CAB">
        <w:rPr>
          <w:rFonts w:cstheme="minorHAnsi"/>
        </w:rPr>
        <w:t>er</w:t>
      </w:r>
      <w:r w:rsidRPr="002179EE">
        <w:rPr>
          <w:rFonts w:cstheme="minorHAnsi"/>
        </w:rPr>
        <w:t xml:space="preserve"> and lower income families, which begins in infancy, promoting social mobility and offering children the best start in life.  </w:t>
      </w:r>
    </w:p>
    <w:p w14:paraId="4C84CBB1" w14:textId="77777777" w:rsidR="005D4FFA" w:rsidRDefault="005D4FFA" w:rsidP="005D4FFA">
      <w:pPr>
        <w:shd w:val="clear" w:color="auto" w:fill="F5F6F6"/>
        <w:spacing w:after="75" w:line="240" w:lineRule="auto"/>
        <w:rPr>
          <w:rFonts w:cstheme="minorHAnsi"/>
        </w:rPr>
      </w:pPr>
    </w:p>
    <w:p w14:paraId="6CFDFB5E" w14:textId="71AA0210" w:rsidR="002B003D" w:rsidRPr="002179EE" w:rsidRDefault="00627A7A" w:rsidP="005D4FFA">
      <w:pPr>
        <w:shd w:val="clear" w:color="auto" w:fill="F5F6F6"/>
        <w:spacing w:after="75" w:line="240" w:lineRule="auto"/>
        <w:ind w:left="360"/>
        <w:rPr>
          <w:rFonts w:cstheme="minorHAnsi"/>
        </w:rPr>
      </w:pPr>
      <w:r w:rsidRPr="00D95E7E">
        <w:rPr>
          <w:rFonts w:cstheme="minorHAnsi"/>
        </w:rPr>
        <w:t xml:space="preserve">Recent research conducted during the pandemic </w:t>
      </w:r>
      <w:r w:rsidRPr="00D95E7E">
        <w:rPr>
          <w:rFonts w:cstheme="minorHAnsi"/>
          <w:shd w:val="clear" w:color="auto" w:fill="FFFFFF"/>
        </w:rPr>
        <w:t>highlighted the importance of high-quality</w:t>
      </w:r>
      <w:r w:rsidRPr="0061338E">
        <w:rPr>
          <w:rFonts w:cstheme="minorHAnsi"/>
          <w:shd w:val="clear" w:color="auto" w:fill="FFFFFF"/>
        </w:rPr>
        <w:t xml:space="preserve"> ECEC for the development of key skills and for levelling socioeconomic inequalities</w:t>
      </w:r>
      <w:r w:rsidR="008212F2" w:rsidRPr="0061338E">
        <w:rPr>
          <w:rFonts w:cstheme="minorHAnsi"/>
          <w:shd w:val="clear" w:color="auto" w:fill="FFFFFF"/>
        </w:rPr>
        <w:t>.</w:t>
      </w:r>
      <w:r w:rsidRPr="0061338E">
        <w:rPr>
          <w:rFonts w:cstheme="minorHAnsi"/>
        </w:rPr>
        <w:t xml:space="preserve"> </w:t>
      </w:r>
      <w:r w:rsidR="00563668" w:rsidRPr="0061338E">
        <w:rPr>
          <w:rFonts w:cstheme="minorHAnsi"/>
        </w:rPr>
        <w:t xml:space="preserve"> </w:t>
      </w:r>
      <w:r w:rsidR="00E21511" w:rsidRPr="0061338E">
        <w:rPr>
          <w:rFonts w:cstheme="minorHAnsi"/>
        </w:rPr>
        <w:t>It is well known that l</w:t>
      </w:r>
      <w:r w:rsidR="002B003D" w:rsidRPr="0061338E">
        <w:rPr>
          <w:rFonts w:cstheme="minorHAnsi"/>
        </w:rPr>
        <w:t xml:space="preserve">ower-income families have been disproportionately impacted by </w:t>
      </w:r>
      <w:r w:rsidR="00DD450E" w:rsidRPr="0061338E">
        <w:rPr>
          <w:rFonts w:cstheme="minorHAnsi"/>
        </w:rPr>
        <w:t>higher rates</w:t>
      </w:r>
      <w:r w:rsidR="002B003D" w:rsidRPr="0061338E">
        <w:rPr>
          <w:rFonts w:cstheme="minorHAnsi"/>
        </w:rPr>
        <w:t xml:space="preserve"> of</w:t>
      </w:r>
      <w:r w:rsidR="002B003D" w:rsidRPr="00A12CAB">
        <w:rPr>
          <w:rFonts w:cstheme="minorHAnsi"/>
        </w:rPr>
        <w:t xml:space="preserve"> </w:t>
      </w:r>
      <w:r w:rsidR="002B003D" w:rsidRPr="0061338E">
        <w:rPr>
          <w:rFonts w:cstheme="minorHAnsi"/>
        </w:rPr>
        <w:lastRenderedPageBreak/>
        <w:t>infections, deaths, unemployment, and mental ill-health</w:t>
      </w:r>
      <w:r w:rsidR="00D9330B" w:rsidRPr="0061338E">
        <w:rPr>
          <w:rStyle w:val="FootnoteReference"/>
          <w:rFonts w:cstheme="minorHAnsi"/>
        </w:rPr>
        <w:footnoteReference w:id="10"/>
      </w:r>
      <w:r w:rsidR="00D9330B" w:rsidRPr="0061338E">
        <w:rPr>
          <w:rFonts w:cstheme="minorHAnsi"/>
        </w:rPr>
        <w:t xml:space="preserve"> </w:t>
      </w:r>
      <w:r w:rsidR="00D9330B" w:rsidRPr="0061338E">
        <w:rPr>
          <w:rStyle w:val="FootnoteReference"/>
          <w:rFonts w:cstheme="minorHAnsi"/>
        </w:rPr>
        <w:footnoteReference w:id="11"/>
      </w:r>
      <w:r w:rsidR="00D9330B" w:rsidRPr="0061338E">
        <w:rPr>
          <w:rStyle w:val="FootnoteReference"/>
          <w:rFonts w:cstheme="minorHAnsi"/>
        </w:rPr>
        <w:footnoteReference w:id="12"/>
      </w:r>
      <w:r w:rsidR="00DD450E" w:rsidRPr="0061338E">
        <w:rPr>
          <w:rFonts w:cstheme="minorHAnsi"/>
        </w:rPr>
        <w:t>;</w:t>
      </w:r>
      <w:r w:rsidR="002B003D" w:rsidRPr="0061338E">
        <w:rPr>
          <w:rFonts w:cstheme="minorHAnsi"/>
        </w:rPr>
        <w:t xml:space="preserve"> all factors which have the potential to negatively affect home interactions with children.</w:t>
      </w:r>
      <w:r w:rsidR="008212F2" w:rsidRPr="0061338E">
        <w:rPr>
          <w:rFonts w:cstheme="minorHAnsi"/>
        </w:rPr>
        <w:t xml:space="preserve"> </w:t>
      </w:r>
      <w:r w:rsidR="00563668" w:rsidRPr="0061338E">
        <w:rPr>
          <w:rFonts w:cstheme="minorHAnsi"/>
        </w:rPr>
        <w:t xml:space="preserve"> </w:t>
      </w:r>
      <w:r w:rsidR="008212F2" w:rsidRPr="0061338E">
        <w:rPr>
          <w:rFonts w:cstheme="minorHAnsi"/>
        </w:rPr>
        <w:t>The research concludes that the protective effect of ECEC was likely to be even greater during the pandemic</w:t>
      </w:r>
      <w:r w:rsidR="00D9330B" w:rsidRPr="0061338E">
        <w:rPr>
          <w:rStyle w:val="FootnoteReference"/>
          <w:rFonts w:cstheme="minorHAnsi"/>
        </w:rPr>
        <w:footnoteReference w:id="13"/>
      </w:r>
      <w:r w:rsidR="008212F2" w:rsidRPr="00A12CAB">
        <w:rPr>
          <w:rFonts w:cstheme="minorHAnsi"/>
        </w:rPr>
        <w:t xml:space="preserve"> </w:t>
      </w:r>
    </w:p>
    <w:p w14:paraId="6989C021" w14:textId="77777777" w:rsidR="00627A7A" w:rsidRPr="002179EE" w:rsidRDefault="00627A7A" w:rsidP="00A150DA">
      <w:pPr>
        <w:ind w:left="360"/>
        <w:rPr>
          <w:rFonts w:cstheme="minorHAnsi"/>
        </w:rPr>
      </w:pPr>
    </w:p>
    <w:p w14:paraId="453D7E92" w14:textId="01109E6E" w:rsidR="00551A49" w:rsidRPr="002179EE" w:rsidRDefault="00A37536" w:rsidP="0061338E">
      <w:pPr>
        <w:ind w:left="360"/>
        <w:rPr>
          <w:rFonts w:cstheme="minorHAnsi"/>
        </w:rPr>
      </w:pPr>
      <w:r w:rsidRPr="002179EE">
        <w:rPr>
          <w:rFonts w:cstheme="minorHAnsi"/>
        </w:rPr>
        <w:t xml:space="preserve">Given the </w:t>
      </w:r>
      <w:r w:rsidR="004B6460" w:rsidRPr="002179EE">
        <w:rPr>
          <w:rFonts w:cstheme="minorHAnsi"/>
        </w:rPr>
        <w:t xml:space="preserve">wide-ranging </w:t>
      </w:r>
      <w:r w:rsidRPr="002179EE">
        <w:rPr>
          <w:rFonts w:cstheme="minorHAnsi"/>
        </w:rPr>
        <w:t>evidence, a</w:t>
      </w:r>
      <w:r w:rsidR="00D60793" w:rsidRPr="002179EE">
        <w:rPr>
          <w:rFonts w:cstheme="minorHAnsi"/>
        </w:rPr>
        <w:t xml:space="preserve"> number o</w:t>
      </w:r>
      <w:r w:rsidRPr="002179EE">
        <w:rPr>
          <w:rFonts w:cstheme="minorHAnsi"/>
        </w:rPr>
        <w:t>f</w:t>
      </w:r>
      <w:r w:rsidR="00D60793" w:rsidRPr="002179EE">
        <w:rPr>
          <w:rFonts w:cstheme="minorHAnsi"/>
        </w:rPr>
        <w:t xml:space="preserve"> academics have argued that ‘investment in early ECEC is a </w:t>
      </w:r>
      <w:r w:rsidR="000905CE">
        <w:rPr>
          <w:rFonts w:cstheme="minorHAnsi"/>
        </w:rPr>
        <w:t>effective</w:t>
      </w:r>
      <w:r w:rsidR="00D60793" w:rsidRPr="002179EE">
        <w:rPr>
          <w:rFonts w:cstheme="minorHAnsi"/>
        </w:rPr>
        <w:t xml:space="preserve"> way of </w:t>
      </w:r>
      <w:r w:rsidR="000905CE">
        <w:rPr>
          <w:rFonts w:cstheme="minorHAnsi"/>
        </w:rPr>
        <w:t>reducing</w:t>
      </w:r>
      <w:r w:rsidR="00D60793" w:rsidRPr="002179EE">
        <w:rPr>
          <w:rFonts w:cstheme="minorHAnsi"/>
        </w:rPr>
        <w:t xml:space="preserve"> socioeconomic inequalities’</w:t>
      </w:r>
      <w:r w:rsidR="000905CE">
        <w:rPr>
          <w:rStyle w:val="FootnoteReference"/>
          <w:rFonts w:cstheme="minorHAnsi"/>
        </w:rPr>
        <w:footnoteReference w:id="14"/>
      </w:r>
      <w:r w:rsidR="000905CE">
        <w:rPr>
          <w:rStyle w:val="FootnoteReference"/>
          <w:rFonts w:cstheme="minorHAnsi"/>
        </w:rPr>
        <w:footnoteReference w:id="15"/>
      </w:r>
      <w:r w:rsidR="00D60793" w:rsidRPr="002179EE">
        <w:rPr>
          <w:rFonts w:cstheme="minorHAnsi"/>
        </w:rPr>
        <w:t>.</w:t>
      </w:r>
      <w:r w:rsidRPr="002179EE">
        <w:rPr>
          <w:rFonts w:cstheme="minorHAnsi"/>
        </w:rPr>
        <w:t xml:space="preserve">  </w:t>
      </w:r>
      <w:r w:rsidR="005D4FFA">
        <w:t>The E</w:t>
      </w:r>
      <w:r w:rsidR="00A12CAB">
        <w:t>ducation Endowment Foundation</w:t>
      </w:r>
      <w:r w:rsidR="000905CE">
        <w:t xml:space="preserve">’s </w:t>
      </w:r>
      <w:r w:rsidR="005D4FFA">
        <w:t>early years toolkit also concludes that the use of ‘communication and language approaches in early years education result in a high impact for a very low cost</w:t>
      </w:r>
      <w:r w:rsidR="000905CE">
        <w:t>’</w:t>
      </w:r>
      <w:r w:rsidR="004108EC">
        <w:rPr>
          <w:rStyle w:val="FootnoteReference"/>
        </w:rPr>
        <w:footnoteReference w:id="16"/>
      </w:r>
      <w:r w:rsidR="005D4FFA">
        <w:t>.</w:t>
      </w:r>
    </w:p>
    <w:p w14:paraId="0379AC07" w14:textId="65A97D66" w:rsidR="00D60793" w:rsidRPr="002179EE" w:rsidRDefault="00D60793" w:rsidP="001E7CC2">
      <w:pPr>
        <w:spacing w:after="0" w:line="240" w:lineRule="auto"/>
        <w:ind w:left="360"/>
        <w:jc w:val="both"/>
        <w:rPr>
          <w:rFonts w:cstheme="minorHAnsi"/>
        </w:rPr>
      </w:pPr>
    </w:p>
    <w:p w14:paraId="46F97F05" w14:textId="0FE49E37" w:rsidR="00A82537" w:rsidRPr="002179EE" w:rsidRDefault="00E21511" w:rsidP="00A37536">
      <w:pPr>
        <w:spacing w:after="0" w:line="240" w:lineRule="auto"/>
        <w:jc w:val="both"/>
        <w:rPr>
          <w:rFonts w:cstheme="minorHAnsi"/>
          <w:b/>
          <w:bCs/>
        </w:rPr>
      </w:pPr>
      <w:r w:rsidRPr="004108EC">
        <w:rPr>
          <w:rFonts w:cstheme="minorHAnsi"/>
          <w:b/>
          <w:bCs/>
          <w:u w:val="single"/>
        </w:rPr>
        <w:t xml:space="preserve">Progress on the ability of </w:t>
      </w:r>
      <w:r w:rsidRPr="004108EC">
        <w:rPr>
          <w:rFonts w:eastAsia="Times New Roman" w:cstheme="minorHAnsi"/>
          <w:b/>
          <w:bCs/>
          <w:u w:val="single"/>
          <w:lang w:eastAsia="en-GB"/>
        </w:rPr>
        <w:t>high</w:t>
      </w:r>
      <w:r w:rsidRPr="002179EE">
        <w:rPr>
          <w:rFonts w:eastAsia="Times New Roman" w:cstheme="minorHAnsi"/>
          <w:b/>
          <w:bCs/>
          <w:u w:val="single"/>
          <w:lang w:eastAsia="en-GB"/>
        </w:rPr>
        <w:t xml:space="preserve">-quality formal childcare provision to reduce the attainment gap, </w:t>
      </w:r>
    </w:p>
    <w:p w14:paraId="3D0CA500" w14:textId="2922B5A3" w:rsidR="00A37536" w:rsidRPr="002179EE" w:rsidRDefault="00A37536" w:rsidP="00A37536">
      <w:pPr>
        <w:spacing w:after="0" w:line="240" w:lineRule="auto"/>
        <w:jc w:val="both"/>
        <w:rPr>
          <w:rFonts w:cstheme="minorHAnsi"/>
          <w:b/>
          <w:bCs/>
        </w:rPr>
      </w:pPr>
    </w:p>
    <w:p w14:paraId="26116D8E" w14:textId="64755164" w:rsidR="00B6316D" w:rsidRPr="002179EE" w:rsidRDefault="002B003D" w:rsidP="00B6316D">
      <w:pPr>
        <w:rPr>
          <w:rFonts w:cstheme="minorHAnsi"/>
        </w:rPr>
      </w:pPr>
      <w:r w:rsidRPr="002179EE">
        <w:rPr>
          <w:rFonts w:cstheme="minorHAnsi"/>
        </w:rPr>
        <w:t>We warmly welcome</w:t>
      </w:r>
      <w:r w:rsidR="008212F2">
        <w:rPr>
          <w:rFonts w:cstheme="minorHAnsi"/>
        </w:rPr>
        <w:t>d</w:t>
      </w:r>
      <w:r w:rsidRPr="002179EE">
        <w:rPr>
          <w:rFonts w:cstheme="minorHAnsi"/>
        </w:rPr>
        <w:t xml:space="preserve"> the publication of the </w:t>
      </w:r>
      <w:hyperlink r:id="rId10" w:history="1">
        <w:r w:rsidRPr="0061338E">
          <w:rPr>
            <w:rStyle w:val="Hyperlink"/>
            <w:rFonts w:cstheme="minorHAnsi"/>
          </w:rPr>
          <w:t xml:space="preserve">Welsh Government: Talk </w:t>
        </w:r>
        <w:r w:rsidR="00563668" w:rsidRPr="0061338E">
          <w:rPr>
            <w:rStyle w:val="Hyperlink"/>
            <w:rFonts w:cstheme="minorHAnsi"/>
          </w:rPr>
          <w:t>W</w:t>
        </w:r>
        <w:r w:rsidRPr="0061338E">
          <w:rPr>
            <w:rStyle w:val="Hyperlink"/>
            <w:rFonts w:cstheme="minorHAnsi"/>
          </w:rPr>
          <w:t>ith Me Speech, Language and Communication delivery plan</w:t>
        </w:r>
      </w:hyperlink>
      <w:r w:rsidRPr="002179EE">
        <w:rPr>
          <w:rFonts w:cstheme="minorHAnsi"/>
        </w:rPr>
        <w:t xml:space="preserve"> in 202</w:t>
      </w:r>
      <w:r w:rsidR="008212F2">
        <w:rPr>
          <w:rFonts w:cstheme="minorHAnsi"/>
        </w:rPr>
        <w:t>0</w:t>
      </w:r>
      <w:r w:rsidR="00C84E48" w:rsidRPr="002179EE">
        <w:rPr>
          <w:rFonts w:cstheme="minorHAnsi"/>
        </w:rPr>
        <w:t xml:space="preserve"> and the secondment of </w:t>
      </w:r>
      <w:r w:rsidR="00366008" w:rsidRPr="002179EE">
        <w:rPr>
          <w:rFonts w:cstheme="minorHAnsi"/>
        </w:rPr>
        <w:t>two speech and language therapists as national speech, language and communication co-ordinators</w:t>
      </w:r>
      <w:r w:rsidRPr="002179EE">
        <w:rPr>
          <w:rFonts w:cstheme="minorHAnsi"/>
        </w:rPr>
        <w:t xml:space="preserve">.  </w:t>
      </w:r>
      <w:r w:rsidR="00366008" w:rsidRPr="002179EE">
        <w:rPr>
          <w:rFonts w:cstheme="minorHAnsi"/>
        </w:rPr>
        <w:t xml:space="preserve">It is </w:t>
      </w:r>
      <w:r w:rsidR="00EA1BB1" w:rsidRPr="002179EE">
        <w:rPr>
          <w:rFonts w:cstheme="minorHAnsi"/>
        </w:rPr>
        <w:t xml:space="preserve">extremely </w:t>
      </w:r>
      <w:r w:rsidR="00366008" w:rsidRPr="002179EE">
        <w:rPr>
          <w:rFonts w:cstheme="minorHAnsi"/>
        </w:rPr>
        <w:t xml:space="preserve">positive that a key </w:t>
      </w:r>
      <w:r w:rsidR="00B95854" w:rsidRPr="002179EE">
        <w:rPr>
          <w:rFonts w:cstheme="minorHAnsi"/>
        </w:rPr>
        <w:t>objective</w:t>
      </w:r>
      <w:r w:rsidR="00366008" w:rsidRPr="002179EE">
        <w:rPr>
          <w:rFonts w:cstheme="minorHAnsi"/>
        </w:rPr>
        <w:t xml:space="preserve"> within the plan is </w:t>
      </w:r>
      <w:r w:rsidR="00B95854" w:rsidRPr="002179EE">
        <w:rPr>
          <w:rFonts w:cstheme="minorHAnsi"/>
        </w:rPr>
        <w:t xml:space="preserve">upskill the childcare, health and social care workforce in Wales to address </w:t>
      </w:r>
      <w:r w:rsidR="00EA1BB1" w:rsidRPr="002179EE">
        <w:rPr>
          <w:rFonts w:cstheme="minorHAnsi"/>
        </w:rPr>
        <w:t>speech, language and communi</w:t>
      </w:r>
      <w:r w:rsidR="008212F2">
        <w:rPr>
          <w:rFonts w:cstheme="minorHAnsi"/>
        </w:rPr>
        <w:t>c</w:t>
      </w:r>
      <w:r w:rsidR="00EA1BB1" w:rsidRPr="002179EE">
        <w:rPr>
          <w:rFonts w:cstheme="minorHAnsi"/>
        </w:rPr>
        <w:t>ation</w:t>
      </w:r>
      <w:r w:rsidR="00B95854" w:rsidRPr="002179EE">
        <w:rPr>
          <w:rFonts w:cstheme="minorHAnsi"/>
        </w:rPr>
        <w:t xml:space="preserve"> needs</w:t>
      </w:r>
      <w:r w:rsidR="00EA1BB1" w:rsidRPr="002179EE">
        <w:rPr>
          <w:rFonts w:cstheme="minorHAnsi"/>
        </w:rPr>
        <w:t>.  A</w:t>
      </w:r>
      <w:r w:rsidR="00B6316D" w:rsidRPr="002179EE">
        <w:rPr>
          <w:rFonts w:cstheme="minorHAnsi"/>
        </w:rPr>
        <w:t xml:space="preserve"> number of key steps have been taken under this banner including;</w:t>
      </w:r>
    </w:p>
    <w:p w14:paraId="69996EA0" w14:textId="217F4343" w:rsidR="00B6316D" w:rsidRPr="002179EE" w:rsidRDefault="00B6316D" w:rsidP="00B6316D">
      <w:pPr>
        <w:pStyle w:val="ListParagraph"/>
        <w:numPr>
          <w:ilvl w:val="0"/>
          <w:numId w:val="17"/>
        </w:numPr>
        <w:rPr>
          <w:rFonts w:cstheme="minorHAnsi"/>
        </w:rPr>
      </w:pPr>
      <w:r w:rsidRPr="002179EE">
        <w:rPr>
          <w:rFonts w:cstheme="minorHAnsi"/>
        </w:rPr>
        <w:t xml:space="preserve">the </w:t>
      </w:r>
      <w:r w:rsidR="00287E46" w:rsidRPr="002179EE">
        <w:rPr>
          <w:rFonts w:cstheme="minorHAnsi"/>
          <w:shd w:val="clear" w:color="auto" w:fill="FFFFFF"/>
        </w:rPr>
        <w:t>launch</w:t>
      </w:r>
      <w:r w:rsidRPr="002179EE">
        <w:rPr>
          <w:rFonts w:cstheme="minorHAnsi"/>
          <w:shd w:val="clear" w:color="auto" w:fill="FFFFFF"/>
        </w:rPr>
        <w:t xml:space="preserve"> of</w:t>
      </w:r>
      <w:r w:rsidR="00287E46" w:rsidRPr="002179EE">
        <w:rPr>
          <w:rFonts w:cstheme="minorHAnsi"/>
          <w:shd w:val="clear" w:color="auto" w:fill="FFFFFF"/>
        </w:rPr>
        <w:t xml:space="preserve"> the all-Wales SLC training pathway for childcare practitioners</w:t>
      </w:r>
      <w:r w:rsidRPr="002179EE">
        <w:rPr>
          <w:rFonts w:cstheme="minorHAnsi"/>
          <w:shd w:val="clear" w:color="auto" w:fill="FFFFFF"/>
        </w:rPr>
        <w:t xml:space="preserve"> </w:t>
      </w:r>
      <w:r w:rsidRPr="002179EE">
        <w:rPr>
          <w:rFonts w:cstheme="minorHAnsi"/>
        </w:rPr>
        <w:t>that enables practitioners to identify their personal training needs and empowers staff to access training to promote SLC skills and identify those needing early access to intervention.</w:t>
      </w:r>
    </w:p>
    <w:p w14:paraId="7024AF22" w14:textId="46175968" w:rsidR="00B6316D" w:rsidRPr="002179EE" w:rsidRDefault="008212F2" w:rsidP="00B6316D">
      <w:pPr>
        <w:pStyle w:val="ListParagraph"/>
        <w:numPr>
          <w:ilvl w:val="0"/>
          <w:numId w:val="17"/>
        </w:numPr>
        <w:rPr>
          <w:rFonts w:cstheme="minorHAnsi"/>
        </w:rPr>
      </w:pPr>
      <w:r>
        <w:rPr>
          <w:rFonts w:cstheme="minorHAnsi"/>
        </w:rPr>
        <w:t>The d</w:t>
      </w:r>
      <w:r w:rsidR="00B6316D" w:rsidRPr="002179EE">
        <w:rPr>
          <w:rFonts w:cstheme="minorHAnsi"/>
        </w:rPr>
        <w:t>evelopment of a level 4 professional practice qualification in speech, language and communication as part of the suite of new Children’s Care Play Learning and Development (CCPLD) qualifications.</w:t>
      </w:r>
    </w:p>
    <w:p w14:paraId="09480E53" w14:textId="2416AE37" w:rsidR="00B6316D" w:rsidRDefault="00A4396B" w:rsidP="00B6316D">
      <w:pPr>
        <w:pStyle w:val="ListParagraph"/>
        <w:numPr>
          <w:ilvl w:val="0"/>
          <w:numId w:val="17"/>
        </w:numPr>
        <w:rPr>
          <w:rFonts w:cstheme="minorHAnsi"/>
        </w:rPr>
      </w:pPr>
      <w:r w:rsidRPr="002179EE">
        <w:rPr>
          <w:rFonts w:cstheme="minorHAnsi"/>
        </w:rPr>
        <w:t>Childcare and Play inspectors offered annual/ online training in children’s early language development</w:t>
      </w:r>
      <w:r w:rsidR="00D95E7E">
        <w:rPr>
          <w:rFonts w:cstheme="minorHAnsi"/>
        </w:rPr>
        <w:t>.</w:t>
      </w:r>
    </w:p>
    <w:p w14:paraId="152628CF" w14:textId="77777777" w:rsidR="00D95E7E" w:rsidRPr="002179EE" w:rsidRDefault="00D95E7E" w:rsidP="00D95E7E">
      <w:pPr>
        <w:pStyle w:val="ListParagraph"/>
        <w:rPr>
          <w:rFonts w:cstheme="minorHAnsi"/>
        </w:rPr>
      </w:pPr>
    </w:p>
    <w:p w14:paraId="16295AC6" w14:textId="36E896FA" w:rsidR="00D95E7E" w:rsidRPr="00D56FA3" w:rsidRDefault="00EA1BB1">
      <w:pPr>
        <w:rPr>
          <w:rFonts w:cstheme="minorHAnsi"/>
        </w:rPr>
      </w:pPr>
      <w:r w:rsidRPr="002179EE">
        <w:rPr>
          <w:rFonts w:cstheme="minorHAnsi"/>
          <w:shd w:val="clear" w:color="auto" w:fill="FFFFFF"/>
        </w:rPr>
        <w:t>There is a</w:t>
      </w:r>
      <w:r w:rsidR="008212F2">
        <w:rPr>
          <w:rFonts w:cstheme="minorHAnsi"/>
          <w:shd w:val="clear" w:color="auto" w:fill="FFFFFF"/>
        </w:rPr>
        <w:t xml:space="preserve"> pressing</w:t>
      </w:r>
      <w:r w:rsidRPr="002179EE">
        <w:rPr>
          <w:rFonts w:cstheme="minorHAnsi"/>
          <w:shd w:val="clear" w:color="auto" w:fill="FFFFFF"/>
        </w:rPr>
        <w:t xml:space="preserve"> need to ensure that the training pathway </w:t>
      </w:r>
      <w:r w:rsidR="00A12CAB">
        <w:rPr>
          <w:rFonts w:cstheme="minorHAnsi"/>
          <w:shd w:val="clear" w:color="auto" w:fill="FFFFFF"/>
        </w:rPr>
        <w:t>are</w:t>
      </w:r>
      <w:r w:rsidRPr="002179EE">
        <w:rPr>
          <w:rFonts w:cstheme="minorHAnsi"/>
          <w:shd w:val="clear" w:color="auto" w:fill="FFFFFF"/>
        </w:rPr>
        <w:t xml:space="preserve"> widely available and </w:t>
      </w:r>
      <w:r w:rsidR="008212F2">
        <w:rPr>
          <w:rFonts w:cstheme="minorHAnsi"/>
          <w:shd w:val="clear" w:color="auto" w:fill="FFFFFF"/>
        </w:rPr>
        <w:t xml:space="preserve">that </w:t>
      </w:r>
      <w:r w:rsidRPr="002179EE">
        <w:rPr>
          <w:rFonts w:cstheme="minorHAnsi"/>
          <w:shd w:val="clear" w:color="auto" w:fill="FFFFFF"/>
        </w:rPr>
        <w:t xml:space="preserve">childcare practitioners are afforded time to be able to access these key resources.  </w:t>
      </w:r>
      <w:r w:rsidRPr="002179EE">
        <w:rPr>
          <w:rFonts w:cstheme="minorHAnsi"/>
        </w:rPr>
        <w:t xml:space="preserve">It is also vital that </w:t>
      </w:r>
      <w:r w:rsidR="00287E46" w:rsidRPr="002179EE">
        <w:rPr>
          <w:rFonts w:cstheme="minorHAnsi"/>
        </w:rPr>
        <w:t xml:space="preserve">SLC </w:t>
      </w:r>
      <w:r w:rsidRPr="002179EE">
        <w:rPr>
          <w:rFonts w:cstheme="minorHAnsi"/>
        </w:rPr>
        <w:t>continues to</w:t>
      </w:r>
      <w:r w:rsidR="00287E46" w:rsidRPr="002179EE">
        <w:rPr>
          <w:rFonts w:cstheme="minorHAnsi"/>
        </w:rPr>
        <w:t xml:space="preserve"> be considered in national conversations about the impact of the CCPLD qualifications</w:t>
      </w:r>
      <w:r w:rsidRPr="002179EE">
        <w:rPr>
          <w:rFonts w:cstheme="minorHAnsi"/>
        </w:rPr>
        <w:t xml:space="preserve"> and viewed as part of inspection processes</w:t>
      </w:r>
      <w:r w:rsidR="00287E46" w:rsidRPr="002179EE">
        <w:rPr>
          <w:rFonts w:cstheme="minorHAnsi"/>
        </w:rPr>
        <w:t>.</w:t>
      </w:r>
    </w:p>
    <w:p w14:paraId="2F27F7E8" w14:textId="77777777" w:rsidR="00D56FA3" w:rsidRDefault="00D56FA3" w:rsidP="00EA1BB1">
      <w:pPr>
        <w:shd w:val="clear" w:color="auto" w:fill="FFFFFF"/>
        <w:spacing w:after="0" w:line="240" w:lineRule="auto"/>
        <w:textAlignment w:val="baseline"/>
        <w:rPr>
          <w:rFonts w:eastAsia="Times New Roman" w:cstheme="minorHAnsi"/>
          <w:b/>
          <w:bCs/>
          <w:u w:val="single"/>
          <w:lang w:eastAsia="en-GB"/>
        </w:rPr>
      </w:pPr>
    </w:p>
    <w:p w14:paraId="09E1D235" w14:textId="13F4BDF4" w:rsidR="00EA1BB1" w:rsidRPr="008212F2" w:rsidRDefault="00EA1BB1" w:rsidP="00EA1BB1">
      <w:pPr>
        <w:shd w:val="clear" w:color="auto" w:fill="FFFFFF"/>
        <w:spacing w:after="0" w:line="240" w:lineRule="auto"/>
        <w:textAlignment w:val="baseline"/>
        <w:rPr>
          <w:rFonts w:eastAsia="Times New Roman" w:cstheme="minorHAnsi"/>
          <w:b/>
          <w:bCs/>
          <w:u w:val="single"/>
          <w:lang w:eastAsia="en-GB"/>
        </w:rPr>
      </w:pPr>
      <w:r w:rsidRPr="008212F2">
        <w:rPr>
          <w:rFonts w:eastAsia="Times New Roman" w:cstheme="minorHAnsi"/>
          <w:b/>
          <w:bCs/>
          <w:u w:val="single"/>
          <w:lang w:eastAsia="en-GB"/>
        </w:rPr>
        <w:lastRenderedPageBreak/>
        <w:t>The potential benefits of extending childcare provision to tackle inequalities.</w:t>
      </w:r>
    </w:p>
    <w:p w14:paraId="3DB6D2F6" w14:textId="5CC843E7" w:rsidR="00287E46" w:rsidRPr="008212F2" w:rsidRDefault="00287E46" w:rsidP="00A4396B">
      <w:pPr>
        <w:rPr>
          <w:rFonts w:cstheme="minorHAnsi"/>
          <w:b/>
          <w:bCs/>
          <w:u w:val="single"/>
        </w:rPr>
      </w:pPr>
    </w:p>
    <w:p w14:paraId="71D17712" w14:textId="08360879" w:rsidR="00E930E9" w:rsidRPr="002179EE" w:rsidRDefault="00EA1BB1" w:rsidP="00F3562B">
      <w:pPr>
        <w:rPr>
          <w:rFonts w:cstheme="minorHAnsi"/>
        </w:rPr>
      </w:pPr>
      <w:r w:rsidRPr="002179EE">
        <w:rPr>
          <w:rFonts w:cstheme="minorHAnsi"/>
        </w:rPr>
        <w:t>As we have highlighted above, ECEC has a key role to play in supporting child development and reducing the language gap</w:t>
      </w:r>
      <w:r w:rsidR="008212F2">
        <w:rPr>
          <w:rFonts w:cstheme="minorHAnsi"/>
        </w:rPr>
        <w:t xml:space="preserve"> for children from lower social economic groups</w:t>
      </w:r>
      <w:r w:rsidRPr="002179EE">
        <w:rPr>
          <w:rFonts w:cstheme="minorHAnsi"/>
        </w:rPr>
        <w:t xml:space="preserve">.  There </w:t>
      </w:r>
      <w:r w:rsidR="00F3562B" w:rsidRPr="002179EE">
        <w:rPr>
          <w:rFonts w:cstheme="minorHAnsi"/>
        </w:rPr>
        <w:t xml:space="preserve">is a great deal of learning in this regard from the Flying Start programme.  </w:t>
      </w:r>
      <w:r w:rsidR="00E930E9" w:rsidRPr="002179EE">
        <w:rPr>
          <w:rFonts w:cstheme="minorHAnsi"/>
        </w:rPr>
        <w:t xml:space="preserve">Given the strong correlation between disadvantage and early language delay, the Flying Start programme has prioritised speech, language and communication since its inception.  To support this key strand of work, </w:t>
      </w:r>
      <w:r w:rsidR="008212F2">
        <w:rPr>
          <w:rFonts w:cstheme="minorHAnsi"/>
        </w:rPr>
        <w:t>a speech and language therapist</w:t>
      </w:r>
      <w:r w:rsidR="00E930E9" w:rsidRPr="002179EE">
        <w:rPr>
          <w:rFonts w:cstheme="minorHAnsi"/>
        </w:rPr>
        <w:t xml:space="preserve"> </w:t>
      </w:r>
      <w:r w:rsidR="008212F2">
        <w:rPr>
          <w:rFonts w:cstheme="minorHAnsi"/>
        </w:rPr>
        <w:t>(</w:t>
      </w:r>
      <w:r w:rsidR="00E930E9" w:rsidRPr="002179EE">
        <w:rPr>
          <w:rFonts w:cstheme="minorHAnsi"/>
        </w:rPr>
        <w:t>SLT</w:t>
      </w:r>
      <w:r w:rsidR="008212F2">
        <w:rPr>
          <w:rFonts w:cstheme="minorHAnsi"/>
        </w:rPr>
        <w:t>)</w:t>
      </w:r>
      <w:r w:rsidR="00E930E9" w:rsidRPr="002179EE">
        <w:rPr>
          <w:rFonts w:cstheme="minorHAnsi"/>
        </w:rPr>
        <w:t xml:space="preserve"> was seconded into Welsh Government for six months to write the programme guidance document on speech, language and communication.  In addition, a SLT has been employed at every Flying Start team in Wales.  Part of the role of the therapist is both to upskill the early years workforce in these areas and to improve parents’ knowledge and skills to support children’s early language development.  This strategic approach ensures that; </w:t>
      </w:r>
    </w:p>
    <w:p w14:paraId="0BD1DE29" w14:textId="77777777" w:rsidR="00E930E9" w:rsidRPr="002179EE" w:rsidRDefault="00E930E9" w:rsidP="00E930E9">
      <w:pPr>
        <w:pStyle w:val="ListParagraph"/>
        <w:rPr>
          <w:rFonts w:cstheme="minorHAnsi"/>
          <w:bCs/>
        </w:rPr>
      </w:pPr>
    </w:p>
    <w:p w14:paraId="0D447EAC" w14:textId="5EE647BB" w:rsidR="00E930E9" w:rsidRPr="002179EE" w:rsidRDefault="0061338E" w:rsidP="00E930E9">
      <w:pPr>
        <w:pStyle w:val="ListParagraph"/>
        <w:numPr>
          <w:ilvl w:val="0"/>
          <w:numId w:val="12"/>
        </w:numPr>
        <w:autoSpaceDE w:val="0"/>
        <w:autoSpaceDN w:val="0"/>
        <w:adjustRightInd w:val="0"/>
        <w:spacing w:after="0" w:line="240" w:lineRule="auto"/>
        <w:rPr>
          <w:rFonts w:cstheme="minorHAnsi"/>
          <w:bCs/>
        </w:rPr>
      </w:pPr>
      <w:r>
        <w:rPr>
          <w:rFonts w:cstheme="minorHAnsi"/>
          <w:bCs/>
        </w:rPr>
        <w:t>a</w:t>
      </w:r>
      <w:r w:rsidR="00E930E9" w:rsidRPr="002179EE">
        <w:rPr>
          <w:rFonts w:cstheme="minorHAnsi"/>
          <w:bCs/>
        </w:rPr>
        <w:t xml:space="preserve">ll Flying Start childcare staff have an understanding of </w:t>
      </w:r>
      <w:r>
        <w:rPr>
          <w:rFonts w:cstheme="minorHAnsi"/>
          <w:bCs/>
        </w:rPr>
        <w:t>SLC</w:t>
      </w:r>
      <w:r w:rsidR="00E930E9" w:rsidRPr="002179EE">
        <w:rPr>
          <w:rFonts w:cstheme="minorHAnsi"/>
          <w:bCs/>
        </w:rPr>
        <w:t xml:space="preserve"> development</w:t>
      </w:r>
    </w:p>
    <w:p w14:paraId="17BC53AB" w14:textId="1307FF54" w:rsidR="00E930E9" w:rsidRPr="002179EE" w:rsidRDefault="0061338E" w:rsidP="00E930E9">
      <w:pPr>
        <w:pStyle w:val="ListParagraph"/>
        <w:numPr>
          <w:ilvl w:val="0"/>
          <w:numId w:val="12"/>
        </w:numPr>
        <w:autoSpaceDE w:val="0"/>
        <w:autoSpaceDN w:val="0"/>
        <w:adjustRightInd w:val="0"/>
        <w:spacing w:after="0" w:line="240" w:lineRule="auto"/>
        <w:rPr>
          <w:rFonts w:cstheme="minorHAnsi"/>
          <w:bCs/>
        </w:rPr>
      </w:pPr>
      <w:r>
        <w:rPr>
          <w:rFonts w:cstheme="minorHAnsi"/>
          <w:bCs/>
        </w:rPr>
        <w:t>a</w:t>
      </w:r>
      <w:r w:rsidR="00E930E9" w:rsidRPr="002179EE">
        <w:rPr>
          <w:rFonts w:cstheme="minorHAnsi"/>
          <w:bCs/>
        </w:rPr>
        <w:t>ll Flying Start childcare practitioners provide a rich learning environment that fosters language and communication opportunities for all children</w:t>
      </w:r>
    </w:p>
    <w:p w14:paraId="2EE29007" w14:textId="77777777" w:rsidR="00E930E9" w:rsidRPr="002179EE" w:rsidRDefault="00E930E9" w:rsidP="00E930E9">
      <w:pPr>
        <w:spacing w:after="0" w:line="240" w:lineRule="auto"/>
        <w:jc w:val="both"/>
        <w:rPr>
          <w:rFonts w:cstheme="minorHAnsi"/>
        </w:rPr>
      </w:pPr>
    </w:p>
    <w:p w14:paraId="56680BB3" w14:textId="10FDDFE1" w:rsidR="00E930E9" w:rsidRPr="002179EE" w:rsidRDefault="00E930E9" w:rsidP="00E930E9">
      <w:pPr>
        <w:spacing w:after="0" w:line="240" w:lineRule="auto"/>
        <w:jc w:val="both"/>
        <w:rPr>
          <w:rFonts w:cstheme="minorHAnsi"/>
          <w:b/>
        </w:rPr>
      </w:pPr>
      <w:r w:rsidRPr="002179EE">
        <w:rPr>
          <w:rFonts w:cstheme="minorHAnsi"/>
        </w:rPr>
        <w:t xml:space="preserve">There is a wealth of evidence available showcasing the positive outcomes of this model.  In 2015, the Bridgend Flying Start </w:t>
      </w:r>
      <w:r w:rsidR="008212F2">
        <w:rPr>
          <w:rFonts w:cstheme="minorHAnsi"/>
        </w:rPr>
        <w:t>SLTs</w:t>
      </w:r>
      <w:r w:rsidRPr="002179EE">
        <w:rPr>
          <w:rFonts w:cstheme="minorHAnsi"/>
        </w:rPr>
        <w:t xml:space="preserve"> won an NHS Wales award for their work in reducing language delay in two and three year olds.  The SLTs worked with Flying Start nurseries in Bridgend to achieve a significant reduction in the number of children with delayed language skills.  Out of over 600 children screened on starting nursery, 73% were assessed as having significant language delay, which would impact on future learning development.  After the interventions delivered by nursery staff which were planned and supported by the Flying Start SLTs, 68% of the children with the worst language delay had improved.</w:t>
      </w:r>
      <w:r w:rsidRPr="002179EE">
        <w:rPr>
          <w:rStyle w:val="FootnoteReference"/>
          <w:rFonts w:cstheme="minorHAnsi"/>
        </w:rPr>
        <w:footnoteReference w:id="17"/>
      </w:r>
    </w:p>
    <w:p w14:paraId="7095AE56" w14:textId="77777777" w:rsidR="00E930E9" w:rsidRPr="002179EE" w:rsidRDefault="00E930E9" w:rsidP="00E930E9">
      <w:pPr>
        <w:jc w:val="both"/>
        <w:rPr>
          <w:rFonts w:cstheme="minorHAnsi"/>
          <w:b/>
        </w:rPr>
      </w:pPr>
    </w:p>
    <w:p w14:paraId="394E110E" w14:textId="57E017D0" w:rsidR="00E930E9" w:rsidRPr="002179EE" w:rsidRDefault="00E930E9" w:rsidP="00E930E9">
      <w:pPr>
        <w:rPr>
          <w:rFonts w:cstheme="minorHAnsi"/>
        </w:rPr>
      </w:pPr>
      <w:r w:rsidRPr="002179EE">
        <w:rPr>
          <w:rFonts w:cstheme="minorHAnsi"/>
        </w:rPr>
        <w:t xml:space="preserve">We remain concerned that many young children living in poverty in Wales are unable to access the </w:t>
      </w:r>
      <w:r w:rsidR="0061338E">
        <w:rPr>
          <w:rFonts w:cstheme="minorHAnsi"/>
        </w:rPr>
        <w:t>SLC</w:t>
      </w:r>
      <w:r w:rsidRPr="002179EE">
        <w:rPr>
          <w:rFonts w:cstheme="minorHAnsi"/>
        </w:rPr>
        <w:t xml:space="preserve"> support offered by Flying Start given the relationship between social disadvantage and early language delay.  Recent research has suggested that 44% of children from disadvantaged backgrounds live outside of Flying Start areas</w:t>
      </w:r>
      <w:r w:rsidR="0061338E">
        <w:rPr>
          <w:rStyle w:val="FootnoteReference"/>
          <w:rFonts w:cstheme="minorHAnsi"/>
        </w:rPr>
        <w:footnoteReference w:id="18"/>
      </w:r>
      <w:r w:rsidRPr="002179EE">
        <w:rPr>
          <w:rFonts w:cstheme="minorHAnsi"/>
        </w:rPr>
        <w:t xml:space="preserve"> (Save the Children, 2018).  </w:t>
      </w:r>
      <w:r w:rsidR="005A4141">
        <w:rPr>
          <w:rFonts w:cstheme="minorHAnsi"/>
        </w:rPr>
        <w:t xml:space="preserve">In exploring </w:t>
      </w:r>
      <w:r w:rsidR="005A4141" w:rsidRPr="005A4141">
        <w:rPr>
          <w:rFonts w:eastAsia="Times New Roman" w:cstheme="minorHAnsi"/>
          <w:lang w:eastAsia="en-GB"/>
        </w:rPr>
        <w:t>the potential benefits of extending childcare provision to tackle inequalities</w:t>
      </w:r>
      <w:r w:rsidR="005A4141">
        <w:rPr>
          <w:rFonts w:cstheme="minorHAnsi"/>
        </w:rPr>
        <w:t xml:space="preserve">, we believe it would be extremely helpful for the committee to consider how </w:t>
      </w:r>
      <w:r w:rsidRPr="002179EE">
        <w:rPr>
          <w:rFonts w:cstheme="minorHAnsi"/>
        </w:rPr>
        <w:t>children at risk and living outside of Flying Start areas may be able to access targeted support.</w:t>
      </w:r>
    </w:p>
    <w:p w14:paraId="02F10AA6" w14:textId="11C9EFA0" w:rsidR="00E930E9" w:rsidRPr="002179EE" w:rsidRDefault="00AF1BFE" w:rsidP="00AF1BFE">
      <w:pPr>
        <w:tabs>
          <w:tab w:val="left" w:pos="6735"/>
        </w:tabs>
        <w:rPr>
          <w:rFonts w:cstheme="minorHAnsi"/>
        </w:rPr>
      </w:pPr>
      <w:r>
        <w:rPr>
          <w:rFonts w:cstheme="minorHAnsi"/>
        </w:rPr>
        <w:tab/>
      </w:r>
    </w:p>
    <w:p w14:paraId="18FF8066" w14:textId="29AD4FF1" w:rsidR="00EF19CC" w:rsidRPr="004108EC" w:rsidRDefault="005A4141" w:rsidP="00CD33D8">
      <w:pPr>
        <w:shd w:val="clear" w:color="auto" w:fill="FFFFFF"/>
        <w:spacing w:before="100" w:beforeAutospacing="1" w:line="240" w:lineRule="auto"/>
        <w:textAlignment w:val="baseline"/>
        <w:rPr>
          <w:rFonts w:eastAsia="Times New Roman" w:cstheme="minorHAnsi"/>
          <w:b/>
          <w:bCs/>
          <w:u w:val="single"/>
          <w:lang w:eastAsia="en-GB"/>
        </w:rPr>
      </w:pPr>
      <w:r w:rsidRPr="004108EC">
        <w:rPr>
          <w:rFonts w:eastAsia="Times New Roman" w:cstheme="minorHAnsi"/>
          <w:b/>
          <w:bCs/>
          <w:u w:val="single"/>
          <w:lang w:eastAsia="en-GB"/>
        </w:rPr>
        <w:t>Further information</w:t>
      </w:r>
    </w:p>
    <w:p w14:paraId="694F2C9A" w14:textId="1C177D7A" w:rsidR="008046FC" w:rsidRPr="000D1EA2" w:rsidRDefault="008046FC" w:rsidP="008046FC">
      <w:pPr>
        <w:pStyle w:val="NormalWeb"/>
        <w:spacing w:before="100" w:beforeAutospacing="1" w:after="160"/>
        <w:rPr>
          <w:rFonts w:asciiTheme="minorHAnsi" w:hAnsiTheme="minorHAnsi" w:cstheme="minorHAnsi"/>
          <w:b/>
          <w:color w:val="000000" w:themeColor="text1"/>
          <w:sz w:val="22"/>
          <w:szCs w:val="22"/>
          <w:lang w:val="en"/>
        </w:rPr>
      </w:pPr>
      <w:r w:rsidRPr="000D1EA2">
        <w:rPr>
          <w:rFonts w:asciiTheme="minorHAnsi" w:hAnsiTheme="minorHAnsi" w:cstheme="minorHAnsi"/>
          <w:sz w:val="22"/>
          <w:szCs w:val="22"/>
        </w:rPr>
        <w:t>We hope this paper will be helpful in supporting the committee</w:t>
      </w:r>
      <w:r w:rsidR="007E6E51">
        <w:rPr>
          <w:rFonts w:asciiTheme="minorHAnsi" w:hAnsiTheme="minorHAnsi" w:cstheme="minorHAnsi"/>
          <w:sz w:val="22"/>
          <w:szCs w:val="22"/>
        </w:rPr>
        <w:t>’s</w:t>
      </w:r>
      <w:r w:rsidRPr="000D1EA2">
        <w:rPr>
          <w:rFonts w:asciiTheme="minorHAnsi" w:hAnsiTheme="minorHAnsi" w:cstheme="minorHAnsi"/>
          <w:sz w:val="22"/>
          <w:szCs w:val="22"/>
        </w:rPr>
        <w:t xml:space="preserve"> discussions around </w:t>
      </w:r>
      <w:r>
        <w:rPr>
          <w:rFonts w:asciiTheme="minorHAnsi" w:hAnsiTheme="minorHAnsi" w:cstheme="minorHAnsi"/>
          <w:sz w:val="22"/>
          <w:szCs w:val="22"/>
        </w:rPr>
        <w:t>childcare and parental employment</w:t>
      </w:r>
      <w:r w:rsidRPr="000D1EA2">
        <w:rPr>
          <w:rFonts w:asciiTheme="minorHAnsi" w:hAnsiTheme="minorHAnsi" w:cstheme="minorHAnsi"/>
          <w:sz w:val="22"/>
          <w:szCs w:val="22"/>
        </w:rPr>
        <w:t xml:space="preserve">. </w:t>
      </w:r>
      <w:r w:rsidR="007E6E51">
        <w:rPr>
          <w:rFonts w:asciiTheme="minorHAnsi" w:hAnsiTheme="minorHAnsi" w:cstheme="minorHAnsi"/>
          <w:sz w:val="22"/>
          <w:szCs w:val="22"/>
        </w:rPr>
        <w:t xml:space="preserve"> </w:t>
      </w:r>
      <w:r w:rsidRPr="000D1EA2">
        <w:rPr>
          <w:rFonts w:asciiTheme="minorHAnsi" w:hAnsiTheme="minorHAnsi" w:cstheme="minorHAnsi"/>
          <w:sz w:val="22"/>
          <w:szCs w:val="22"/>
        </w:rPr>
        <w:t>We would be happy to provide further information if this would be of benefit</w:t>
      </w:r>
      <w:r>
        <w:rPr>
          <w:rFonts w:asciiTheme="minorHAnsi" w:hAnsiTheme="minorHAnsi" w:cstheme="minorHAnsi"/>
          <w:sz w:val="22"/>
          <w:szCs w:val="22"/>
        </w:rPr>
        <w:t xml:space="preserve">.  </w:t>
      </w:r>
      <w:r w:rsidRPr="000D1EA2">
        <w:rPr>
          <w:rFonts w:asciiTheme="minorHAnsi" w:hAnsiTheme="minorHAnsi" w:cstheme="minorHAnsi"/>
          <w:sz w:val="22"/>
          <w:szCs w:val="22"/>
        </w:rPr>
        <w:t>Please see below our contact details.</w:t>
      </w:r>
    </w:p>
    <w:p w14:paraId="1D6EFE9E" w14:textId="77777777" w:rsidR="008046FC" w:rsidRPr="000D1EA2" w:rsidRDefault="008046FC" w:rsidP="008046FC">
      <w:pPr>
        <w:pStyle w:val="NormalWeb"/>
        <w:spacing w:before="100" w:beforeAutospacing="1" w:after="160"/>
        <w:ind w:left="810"/>
        <w:rPr>
          <w:rFonts w:asciiTheme="minorHAnsi" w:hAnsiTheme="minorHAnsi" w:cstheme="minorHAnsi"/>
          <w:b/>
          <w:color w:val="000000" w:themeColor="text1"/>
          <w:sz w:val="22"/>
          <w:szCs w:val="22"/>
          <w:lang w:val="en"/>
        </w:rPr>
      </w:pPr>
    </w:p>
    <w:p w14:paraId="462AB1BD" w14:textId="77777777" w:rsidR="008046FC" w:rsidRPr="000D1EA2" w:rsidRDefault="008046FC" w:rsidP="008A57B1">
      <w:pPr>
        <w:shd w:val="clear" w:color="auto" w:fill="FFFFFF"/>
        <w:spacing w:after="0" w:line="240" w:lineRule="auto"/>
        <w:rPr>
          <w:rFonts w:cstheme="minorHAnsi"/>
          <w:b/>
        </w:rPr>
      </w:pPr>
      <w:r w:rsidRPr="000D1EA2">
        <w:rPr>
          <w:rFonts w:cstheme="minorHAnsi"/>
          <w:b/>
        </w:rPr>
        <w:t>Pippa Cotterill, Head of Wales Office, Royal College of Speech and Language Therapists</w:t>
      </w:r>
    </w:p>
    <w:p w14:paraId="6EF17E4B" w14:textId="77777777" w:rsidR="008046FC" w:rsidRPr="000D1EA2" w:rsidRDefault="00830CF6" w:rsidP="008046FC">
      <w:pPr>
        <w:shd w:val="clear" w:color="auto" w:fill="FFFFFF"/>
        <w:spacing w:after="100" w:afterAutospacing="1" w:line="240" w:lineRule="auto"/>
        <w:ind w:firstLine="448"/>
        <w:rPr>
          <w:rFonts w:cstheme="minorHAnsi"/>
          <w:b/>
        </w:rPr>
      </w:pPr>
      <w:hyperlink r:id="rId11" w:history="1">
        <w:r w:rsidR="008046FC" w:rsidRPr="000D1EA2">
          <w:rPr>
            <w:rStyle w:val="Hyperlink"/>
            <w:rFonts w:cstheme="minorHAnsi"/>
            <w:b/>
          </w:rPr>
          <w:t>Philippa.cotterill@rcslt.org</w:t>
        </w:r>
      </w:hyperlink>
    </w:p>
    <w:p w14:paraId="45B5C4E4" w14:textId="77777777" w:rsidR="008046FC" w:rsidRDefault="008046FC" w:rsidP="00E930E9">
      <w:pPr>
        <w:shd w:val="clear" w:color="auto" w:fill="FFFFFF"/>
        <w:spacing w:before="100" w:beforeAutospacing="1" w:line="240" w:lineRule="auto"/>
        <w:textAlignment w:val="baseline"/>
        <w:rPr>
          <w:rFonts w:eastAsia="Times New Roman" w:cstheme="minorHAnsi"/>
          <w:lang w:eastAsia="en-GB"/>
        </w:rPr>
      </w:pPr>
    </w:p>
    <w:p w14:paraId="0A343FAB" w14:textId="77777777" w:rsidR="008046FC" w:rsidRPr="000D1EA2" w:rsidRDefault="008046FC" w:rsidP="008A57B1">
      <w:pPr>
        <w:shd w:val="clear" w:color="auto" w:fill="FFFFFF"/>
        <w:spacing w:after="0" w:line="240" w:lineRule="auto"/>
        <w:rPr>
          <w:rFonts w:cstheme="minorHAnsi"/>
          <w:b/>
        </w:rPr>
      </w:pPr>
      <w:proofErr w:type="spellStart"/>
      <w:r w:rsidRPr="000D1EA2">
        <w:rPr>
          <w:rFonts w:cstheme="minorHAnsi"/>
          <w:b/>
        </w:rPr>
        <w:t>Dr.</w:t>
      </w:r>
      <w:proofErr w:type="spellEnd"/>
      <w:r w:rsidRPr="000D1EA2">
        <w:rPr>
          <w:rFonts w:cstheme="minorHAnsi"/>
          <w:b/>
        </w:rPr>
        <w:t xml:space="preserve"> Caroline Walters, External Affairs Manager (Wales), Royal College of Speech and Language Therapists</w:t>
      </w:r>
    </w:p>
    <w:p w14:paraId="117B2A89" w14:textId="77777777" w:rsidR="008046FC" w:rsidRPr="000D1EA2" w:rsidRDefault="00830CF6" w:rsidP="008046FC">
      <w:pPr>
        <w:shd w:val="clear" w:color="auto" w:fill="FFFFFF"/>
        <w:spacing w:after="0" w:line="240" w:lineRule="auto"/>
        <w:ind w:firstLine="448"/>
        <w:rPr>
          <w:rFonts w:cstheme="minorHAnsi"/>
          <w:b/>
        </w:rPr>
      </w:pPr>
      <w:hyperlink r:id="rId12" w:history="1">
        <w:r w:rsidR="008046FC" w:rsidRPr="000D1EA2">
          <w:rPr>
            <w:rStyle w:val="Hyperlink"/>
            <w:rFonts w:cstheme="minorHAnsi"/>
            <w:b/>
          </w:rPr>
          <w:t>caroline.walters@rcslt.org</w:t>
        </w:r>
      </w:hyperlink>
    </w:p>
    <w:p w14:paraId="3D1B9213" w14:textId="77777777" w:rsidR="008046FC" w:rsidRDefault="008046FC" w:rsidP="008046FC">
      <w:pPr>
        <w:spacing w:line="240" w:lineRule="auto"/>
        <w:rPr>
          <w:rFonts w:cstheme="minorHAnsi"/>
          <w:lang w:val="en-US"/>
        </w:rPr>
      </w:pPr>
    </w:p>
    <w:p w14:paraId="65BFC79B" w14:textId="77777777" w:rsidR="008046FC" w:rsidRPr="00A30775" w:rsidRDefault="008046FC" w:rsidP="008046FC">
      <w:pPr>
        <w:spacing w:line="240" w:lineRule="auto"/>
        <w:rPr>
          <w:rFonts w:cstheme="minorHAnsi"/>
          <w:b/>
          <w:bCs/>
          <w:u w:val="single"/>
          <w:lang w:val="en-US"/>
        </w:rPr>
      </w:pPr>
      <w:r w:rsidRPr="00A30775">
        <w:rPr>
          <w:rFonts w:cstheme="minorHAnsi"/>
          <w:b/>
          <w:bCs/>
          <w:u w:val="single"/>
          <w:lang w:val="en-US"/>
        </w:rPr>
        <w:t>Confirmation</w:t>
      </w:r>
    </w:p>
    <w:p w14:paraId="095963F2" w14:textId="77777777" w:rsidR="008046FC" w:rsidRDefault="008046FC" w:rsidP="008046FC">
      <w:pPr>
        <w:spacing w:line="240" w:lineRule="auto"/>
        <w:ind w:left="448"/>
        <w:rPr>
          <w:rFonts w:cstheme="minorHAnsi"/>
          <w:lang w:val="en-US"/>
        </w:rPr>
      </w:pPr>
    </w:p>
    <w:p w14:paraId="3972CE73" w14:textId="250ABE94" w:rsidR="00245E37" w:rsidRPr="002179EE" w:rsidRDefault="008046FC" w:rsidP="008A57B1">
      <w:pPr>
        <w:spacing w:line="240" w:lineRule="auto"/>
        <w:rPr>
          <w:rFonts w:cstheme="minorHAnsi"/>
        </w:rPr>
      </w:pPr>
      <w:r w:rsidRPr="000D1EA2">
        <w:rPr>
          <w:rFonts w:cstheme="minorHAnsi"/>
          <w:lang w:val="en-US"/>
        </w:rPr>
        <w:t>This response is submitted on behalf of The Royal College of Speech and Language Therap</w:t>
      </w:r>
      <w:r>
        <w:rPr>
          <w:rFonts w:cstheme="minorHAnsi"/>
          <w:lang w:val="en-US"/>
        </w:rPr>
        <w:t>ists in Wales</w:t>
      </w:r>
      <w:r w:rsidRPr="000D1EA2">
        <w:rPr>
          <w:rFonts w:cstheme="minorHAnsi"/>
          <w:lang w:val="en-US"/>
        </w:rPr>
        <w:t>.  We confirm that we are happy for this response to be made public.</w:t>
      </w:r>
    </w:p>
    <w:sectPr w:rsidR="00245E37" w:rsidRPr="002179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3398" w14:textId="77777777" w:rsidR="00F67B35" w:rsidRDefault="00F67B35" w:rsidP="0058264F">
      <w:pPr>
        <w:spacing w:after="0" w:line="240" w:lineRule="auto"/>
      </w:pPr>
      <w:r>
        <w:separator/>
      </w:r>
    </w:p>
  </w:endnote>
  <w:endnote w:type="continuationSeparator" w:id="0">
    <w:p w14:paraId="0E6FD14B" w14:textId="77777777" w:rsidR="00F67B35" w:rsidRDefault="00F67B35" w:rsidP="0058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lright Sans Regular Italic">
    <w:altName w:val="Alright Sans Regular Italic"/>
    <w:panose1 w:val="00000000000000000000"/>
    <w:charset w:val="00"/>
    <w:family w:val="swiss"/>
    <w:notTrueType/>
    <w:pitch w:val="default"/>
    <w:sig w:usb0="00000003" w:usb1="00000000" w:usb2="00000000" w:usb3="00000000" w:csb0="00000001" w:csb1="00000000"/>
  </w:font>
  <w:font w:name="Alright Sans Regular">
    <w:altName w:val="Alright Sans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6426" w14:textId="77777777" w:rsidR="00CD33D8" w:rsidRDefault="00CD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09873"/>
      <w:docPartObj>
        <w:docPartGallery w:val="Page Numbers (Bottom of Page)"/>
        <w:docPartUnique/>
      </w:docPartObj>
    </w:sdtPr>
    <w:sdtEndPr>
      <w:rPr>
        <w:noProof/>
      </w:rPr>
    </w:sdtEndPr>
    <w:sdtContent>
      <w:p w14:paraId="467CBEBE" w14:textId="4ACDE7E6" w:rsidR="008046FC" w:rsidRDefault="00804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BAEEF" w14:textId="77777777" w:rsidR="00E364E4" w:rsidRDefault="00830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87B5" w14:textId="77777777" w:rsidR="00CD33D8" w:rsidRDefault="00CD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3C49" w14:textId="77777777" w:rsidR="00F67B35" w:rsidRDefault="00F67B35" w:rsidP="0058264F">
      <w:pPr>
        <w:spacing w:after="0" w:line="240" w:lineRule="auto"/>
      </w:pPr>
      <w:r>
        <w:separator/>
      </w:r>
    </w:p>
  </w:footnote>
  <w:footnote w:type="continuationSeparator" w:id="0">
    <w:p w14:paraId="073D505B" w14:textId="77777777" w:rsidR="00F67B35" w:rsidRDefault="00F67B35" w:rsidP="0058264F">
      <w:pPr>
        <w:spacing w:after="0" w:line="240" w:lineRule="auto"/>
      </w:pPr>
      <w:r>
        <w:continuationSeparator/>
      </w:r>
    </w:p>
  </w:footnote>
  <w:footnote w:id="1">
    <w:p w14:paraId="09B178CF" w14:textId="5F22B0C5" w:rsidR="00E3658B" w:rsidRPr="00A12CAB" w:rsidRDefault="00E3658B" w:rsidP="00D45EEC">
      <w:pPr>
        <w:autoSpaceDE w:val="0"/>
        <w:autoSpaceDN w:val="0"/>
        <w:adjustRightInd w:val="0"/>
        <w:spacing w:after="0" w:line="240" w:lineRule="auto"/>
        <w:rPr>
          <w:rFonts w:cstheme="minorHAnsi"/>
          <w:sz w:val="16"/>
          <w:szCs w:val="16"/>
        </w:rPr>
      </w:pPr>
      <w:r w:rsidRPr="00A12CAB">
        <w:rPr>
          <w:rStyle w:val="FootnoteReference"/>
          <w:rFonts w:cstheme="minorHAnsi"/>
          <w:sz w:val="16"/>
          <w:szCs w:val="16"/>
        </w:rPr>
        <w:footnoteRef/>
      </w:r>
      <w:r w:rsidRPr="00A12CAB">
        <w:rPr>
          <w:rFonts w:cstheme="minorHAnsi"/>
          <w:sz w:val="16"/>
          <w:szCs w:val="16"/>
        </w:rPr>
        <w:t xml:space="preserve"> ICAN Talk Series – Issue 2. (2009) The Cost of the Nation of Children’s </w:t>
      </w:r>
      <w:proofErr w:type="spellStart"/>
      <w:r w:rsidRPr="00A12CAB">
        <w:rPr>
          <w:rFonts w:cstheme="minorHAnsi"/>
          <w:sz w:val="16"/>
          <w:szCs w:val="16"/>
        </w:rPr>
        <w:t>PoorCommunication</w:t>
      </w:r>
      <w:proofErr w:type="spellEnd"/>
      <w:r w:rsidRPr="00A12CAB">
        <w:rPr>
          <w:rFonts w:cstheme="minorHAnsi"/>
          <w:sz w:val="16"/>
          <w:szCs w:val="16"/>
        </w:rPr>
        <w:t>. ICAN</w:t>
      </w:r>
    </w:p>
  </w:footnote>
  <w:footnote w:id="2">
    <w:p w14:paraId="446B0431" w14:textId="6350E8BC" w:rsidR="00E3658B" w:rsidRPr="00A12CAB" w:rsidRDefault="00E3658B" w:rsidP="00D45EEC">
      <w:pPr>
        <w:autoSpaceDE w:val="0"/>
        <w:autoSpaceDN w:val="0"/>
        <w:adjustRightInd w:val="0"/>
        <w:spacing w:after="0" w:line="240" w:lineRule="auto"/>
        <w:rPr>
          <w:rFonts w:cstheme="minorHAnsi"/>
          <w:sz w:val="16"/>
          <w:szCs w:val="16"/>
        </w:rPr>
      </w:pPr>
      <w:r w:rsidRPr="00A12CAB">
        <w:rPr>
          <w:rStyle w:val="FootnoteReference"/>
          <w:rFonts w:cstheme="minorHAnsi"/>
          <w:sz w:val="16"/>
          <w:szCs w:val="16"/>
        </w:rPr>
        <w:footnoteRef/>
      </w:r>
      <w:r w:rsidRPr="00A12CAB">
        <w:rPr>
          <w:rFonts w:cstheme="minorHAnsi"/>
          <w:sz w:val="16"/>
          <w:szCs w:val="16"/>
        </w:rPr>
        <w:t xml:space="preserve"> Law, J, Todd, L, Clark, J, </w:t>
      </w:r>
      <w:proofErr w:type="spellStart"/>
      <w:r w:rsidRPr="00A12CAB">
        <w:rPr>
          <w:rFonts w:cstheme="minorHAnsi"/>
          <w:sz w:val="16"/>
          <w:szCs w:val="16"/>
        </w:rPr>
        <w:t>Mroz</w:t>
      </w:r>
      <w:proofErr w:type="spellEnd"/>
      <w:r w:rsidRPr="00A12CAB">
        <w:rPr>
          <w:rFonts w:cstheme="minorHAnsi"/>
          <w:sz w:val="16"/>
          <w:szCs w:val="16"/>
        </w:rPr>
        <w:t xml:space="preserve">, M and </w:t>
      </w:r>
      <w:proofErr w:type="spellStart"/>
      <w:r w:rsidRPr="00A12CAB">
        <w:rPr>
          <w:rFonts w:cstheme="minorHAnsi"/>
          <w:sz w:val="16"/>
          <w:szCs w:val="16"/>
        </w:rPr>
        <w:t>Carr</w:t>
      </w:r>
      <w:proofErr w:type="spellEnd"/>
      <w:r w:rsidRPr="00A12CAB">
        <w:rPr>
          <w:rFonts w:cstheme="minorHAnsi"/>
          <w:sz w:val="16"/>
          <w:szCs w:val="16"/>
        </w:rPr>
        <w:t>, J (2013a) Early Language Delays in the</w:t>
      </w:r>
      <w:r w:rsidR="00D45EEC">
        <w:rPr>
          <w:rFonts w:cstheme="minorHAnsi"/>
          <w:sz w:val="16"/>
          <w:szCs w:val="16"/>
        </w:rPr>
        <w:t xml:space="preserve"> </w:t>
      </w:r>
      <w:r w:rsidRPr="00A12CAB">
        <w:rPr>
          <w:rFonts w:cstheme="minorHAnsi"/>
          <w:sz w:val="16"/>
          <w:szCs w:val="16"/>
        </w:rPr>
        <w:t>UK. Save the Children</w:t>
      </w:r>
    </w:p>
  </w:footnote>
  <w:footnote w:id="3">
    <w:p w14:paraId="29255A72" w14:textId="4D062919" w:rsidR="00E3658B" w:rsidRPr="00A12CAB" w:rsidRDefault="00E3658B" w:rsidP="00A12CAB">
      <w:pPr>
        <w:autoSpaceDE w:val="0"/>
        <w:autoSpaceDN w:val="0"/>
        <w:adjustRightInd w:val="0"/>
        <w:spacing w:after="0" w:line="240" w:lineRule="auto"/>
        <w:rPr>
          <w:rFonts w:cstheme="minorHAnsi"/>
          <w:sz w:val="16"/>
          <w:szCs w:val="16"/>
        </w:rPr>
      </w:pPr>
      <w:r w:rsidRPr="00A12CAB">
        <w:rPr>
          <w:rStyle w:val="FootnoteReference"/>
          <w:rFonts w:cstheme="minorHAnsi"/>
          <w:sz w:val="16"/>
          <w:szCs w:val="16"/>
        </w:rPr>
        <w:footnoteRef/>
      </w:r>
      <w:r w:rsidRPr="00A12CAB">
        <w:rPr>
          <w:rFonts w:cstheme="minorHAnsi"/>
          <w:sz w:val="16"/>
          <w:szCs w:val="16"/>
        </w:rPr>
        <w:t xml:space="preserve"> Hart B &amp; Risley T.R (2003). The early catastrophe: The 30 million word gap by 3.American Educator, 27 (1), 4 -9</w:t>
      </w:r>
    </w:p>
  </w:footnote>
  <w:footnote w:id="4">
    <w:p w14:paraId="190B9D22" w14:textId="77777777" w:rsidR="00E3658B" w:rsidRPr="00D9330B" w:rsidRDefault="00E3658B" w:rsidP="00E3658B">
      <w:pPr>
        <w:pStyle w:val="FootnoteText"/>
      </w:pPr>
      <w:r w:rsidRPr="00A12CAB">
        <w:rPr>
          <w:rStyle w:val="FootnoteReference"/>
          <w:sz w:val="16"/>
          <w:szCs w:val="16"/>
        </w:rPr>
        <w:footnoteRef/>
      </w:r>
      <w:r w:rsidRPr="00A12CAB">
        <w:rPr>
          <w:sz w:val="16"/>
          <w:szCs w:val="16"/>
        </w:rPr>
        <w:t xml:space="preserve"> </w:t>
      </w:r>
      <w:r w:rsidRPr="00D9330B">
        <w:t>Locke A, Ginsborg J, Peers I. (2002) Development and disadvantage: Implications for the early years and beyond, International Journal of Language and Communication Disorders, 37(1), pp. 3-15.</w:t>
      </w:r>
    </w:p>
  </w:footnote>
  <w:footnote w:id="5">
    <w:p w14:paraId="6D97F365" w14:textId="77777777" w:rsidR="00E3658B" w:rsidRPr="00D9330B" w:rsidRDefault="00E3658B" w:rsidP="00E3658B">
      <w:pPr>
        <w:pStyle w:val="FootnoteText"/>
      </w:pPr>
      <w:r w:rsidRPr="00D9330B">
        <w:rPr>
          <w:rStyle w:val="FootnoteReference"/>
        </w:rPr>
        <w:footnoteRef/>
      </w:r>
      <w:r w:rsidRPr="00D9330B">
        <w:t xml:space="preserve"> Save the Children (2014) How reading can help children escape poverty. London: Save the Children</w:t>
      </w:r>
    </w:p>
  </w:footnote>
  <w:footnote w:id="6">
    <w:p w14:paraId="288FEEDE" w14:textId="283E0271" w:rsidR="00E3658B" w:rsidRPr="00D9330B" w:rsidRDefault="00E3658B" w:rsidP="00A12CAB">
      <w:pPr>
        <w:spacing w:after="0" w:line="240" w:lineRule="auto"/>
        <w:rPr>
          <w:sz w:val="20"/>
          <w:szCs w:val="20"/>
        </w:rPr>
      </w:pPr>
      <w:r w:rsidRPr="00D9330B">
        <w:rPr>
          <w:rStyle w:val="FootnoteReference"/>
          <w:sz w:val="20"/>
          <w:szCs w:val="20"/>
        </w:rPr>
        <w:footnoteRef/>
      </w:r>
      <w:r w:rsidRPr="00D9330B">
        <w:rPr>
          <w:sz w:val="20"/>
          <w:szCs w:val="20"/>
        </w:rPr>
        <w:t xml:space="preserve"> Blanden, J. (2006) </w:t>
      </w:r>
      <w:r w:rsidRPr="00D9330B">
        <w:rPr>
          <w:i/>
          <w:iCs/>
          <w:sz w:val="20"/>
          <w:szCs w:val="20"/>
        </w:rPr>
        <w:t>Bucking the Trend – What enables those who are disadvantaged in childhood to succeed later in life</w:t>
      </w:r>
      <w:r w:rsidRPr="00D9330B">
        <w:rPr>
          <w:bCs/>
          <w:sz w:val="20"/>
          <w:szCs w:val="20"/>
        </w:rPr>
        <w:t xml:space="preserve">? </w:t>
      </w:r>
      <w:r w:rsidRPr="00D9330B">
        <w:rPr>
          <w:sz w:val="20"/>
          <w:szCs w:val="20"/>
        </w:rPr>
        <w:t>London: Department for Work and Pensions.</w:t>
      </w:r>
    </w:p>
  </w:footnote>
  <w:footnote w:id="7">
    <w:p w14:paraId="34CB9649" w14:textId="77777777" w:rsidR="00E3658B" w:rsidRPr="00D9330B" w:rsidRDefault="00E3658B" w:rsidP="00A12CAB">
      <w:pPr>
        <w:spacing w:after="0" w:line="240" w:lineRule="auto"/>
        <w:rPr>
          <w:sz w:val="20"/>
          <w:szCs w:val="20"/>
        </w:rPr>
      </w:pPr>
      <w:r w:rsidRPr="00D9330B">
        <w:rPr>
          <w:rStyle w:val="FootnoteReference"/>
          <w:sz w:val="20"/>
          <w:szCs w:val="20"/>
        </w:rPr>
        <w:footnoteRef/>
      </w:r>
      <w:r w:rsidRPr="00D9330B">
        <w:rPr>
          <w:sz w:val="20"/>
          <w:szCs w:val="20"/>
        </w:rPr>
        <w:t xml:space="preserve"> Law, J. et al (2010) Modelling developmental language difficulties from school entry into adulthood. </w:t>
      </w:r>
      <w:r w:rsidRPr="00D9330B">
        <w:rPr>
          <w:i/>
          <w:sz w:val="20"/>
          <w:szCs w:val="20"/>
        </w:rPr>
        <w:t>Journal of speech, language and hearing research</w:t>
      </w:r>
      <w:r w:rsidRPr="00D9330B">
        <w:rPr>
          <w:sz w:val="20"/>
          <w:szCs w:val="20"/>
        </w:rPr>
        <w:t>, 52, 1401-1416</w:t>
      </w:r>
    </w:p>
  </w:footnote>
  <w:footnote w:id="8">
    <w:p w14:paraId="649C4E18" w14:textId="77777777" w:rsidR="001B0A23" w:rsidRPr="00D9330B" w:rsidRDefault="001B0A23" w:rsidP="001B0A23">
      <w:pPr>
        <w:pStyle w:val="FootnoteText"/>
      </w:pPr>
      <w:r w:rsidRPr="00D9330B">
        <w:rPr>
          <w:rStyle w:val="FootnoteReference"/>
        </w:rPr>
        <w:footnoteRef/>
      </w:r>
      <w:r w:rsidRPr="00D9330B">
        <w:t xml:space="preserve"> Law, J et al (2015). </w:t>
      </w:r>
      <w:r w:rsidRPr="00D9330B">
        <w:rPr>
          <w:rStyle w:val="A9"/>
          <w:i/>
          <w:iCs/>
          <w:sz w:val="20"/>
          <w:szCs w:val="20"/>
        </w:rPr>
        <w:t>Early language delays in the UK</w:t>
      </w:r>
      <w:r w:rsidRPr="00D9330B">
        <w:rPr>
          <w:rStyle w:val="A9"/>
          <w:rFonts w:cs="Alright Sans Regular"/>
          <w:sz w:val="20"/>
          <w:szCs w:val="20"/>
        </w:rPr>
        <w:t xml:space="preserve">, Save the Children: London. </w:t>
      </w:r>
      <w:r w:rsidRPr="00D9330B">
        <w:t>http://www.ncl.ac.uk/cflat/news/documents/Lawetal2013EarlyLanguageDelaysintheUK.pdf</w:t>
      </w:r>
    </w:p>
  </w:footnote>
  <w:footnote w:id="9">
    <w:p w14:paraId="3644FE05" w14:textId="77777777" w:rsidR="002507CA" w:rsidRPr="00D9330B" w:rsidRDefault="002507CA" w:rsidP="002507CA">
      <w:pPr>
        <w:pStyle w:val="FootnoteText"/>
      </w:pPr>
      <w:r w:rsidRPr="00D9330B">
        <w:rPr>
          <w:rStyle w:val="FootnoteReference"/>
        </w:rPr>
        <w:footnoteRef/>
      </w:r>
      <w:r w:rsidRPr="00D9330B">
        <w:t xml:space="preserve"> </w:t>
      </w:r>
      <w:proofErr w:type="spellStart"/>
      <w:r w:rsidRPr="00D9330B">
        <w:t>Havnes</w:t>
      </w:r>
      <w:proofErr w:type="spellEnd"/>
      <w:r w:rsidRPr="00D9330B">
        <w:t xml:space="preserve">, </w:t>
      </w:r>
      <w:proofErr w:type="spellStart"/>
      <w:r w:rsidRPr="00D9330B">
        <w:t>Tarjei</w:t>
      </w:r>
      <w:proofErr w:type="spellEnd"/>
      <w:r w:rsidRPr="00D9330B">
        <w:t xml:space="preserve"> &amp; </w:t>
      </w:r>
      <w:proofErr w:type="spellStart"/>
      <w:r w:rsidRPr="00D9330B">
        <w:t>Mogstad,Magne</w:t>
      </w:r>
      <w:proofErr w:type="spellEnd"/>
      <w:r w:rsidRPr="00D9330B">
        <w:t xml:space="preserve">, 2009. “Money for nothing? Universal childcare and maternal employment,” IZA Discussion Papers 4504, </w:t>
      </w:r>
      <w:proofErr w:type="spellStart"/>
      <w:r w:rsidRPr="00D9330B">
        <w:t>InstituTe</w:t>
      </w:r>
      <w:proofErr w:type="spellEnd"/>
      <w:r w:rsidRPr="00D9330B">
        <w:t xml:space="preserve"> for the Study of Labour (IZA)</w:t>
      </w:r>
    </w:p>
  </w:footnote>
  <w:footnote w:id="10">
    <w:p w14:paraId="38FE36C5" w14:textId="02BF30F6" w:rsidR="00D9330B" w:rsidRPr="0061338E" w:rsidRDefault="00D9330B">
      <w:pPr>
        <w:pStyle w:val="FootnoteText"/>
      </w:pPr>
      <w:r w:rsidRPr="00D9330B">
        <w:rPr>
          <w:rStyle w:val="FootnoteReference"/>
        </w:rPr>
        <w:footnoteRef/>
      </w:r>
      <w:r w:rsidRPr="00D9330B">
        <w:t xml:space="preserve"> </w:t>
      </w:r>
      <w:proofErr w:type="spellStart"/>
      <w:r w:rsidRPr="0061338E">
        <w:t>Kousoulis</w:t>
      </w:r>
      <w:proofErr w:type="spellEnd"/>
      <w:r w:rsidRPr="0061338E">
        <w:t xml:space="preserve">, A., McDaid, S., </w:t>
      </w:r>
      <w:proofErr w:type="spellStart"/>
      <w:r w:rsidRPr="0061338E">
        <w:t>Crepaz-Keay</w:t>
      </w:r>
      <w:proofErr w:type="spellEnd"/>
      <w:r w:rsidRPr="0061338E">
        <w:t>, D., Solomon, S., Lombardo, C., Yap, J., … Davidson, G. (2020). The COVID-19 pandemic, financial inequality and mental health. London: Mental Health Foundation</w:t>
      </w:r>
    </w:p>
  </w:footnote>
  <w:footnote w:id="11">
    <w:p w14:paraId="3C71D8D4" w14:textId="7A532F5D" w:rsidR="00D9330B" w:rsidRPr="0061338E" w:rsidRDefault="00D9330B">
      <w:pPr>
        <w:pStyle w:val="FootnoteText"/>
      </w:pPr>
      <w:r w:rsidRPr="0061338E">
        <w:rPr>
          <w:rStyle w:val="FootnoteReference"/>
        </w:rPr>
        <w:footnoteRef/>
      </w:r>
      <w:r w:rsidRPr="0061338E">
        <w:t xml:space="preserve"> Office for National Statistics [ONS]. Coronavirus and depression in adults, Great Britain: January to March 2021</w:t>
      </w:r>
    </w:p>
  </w:footnote>
  <w:footnote w:id="12">
    <w:p w14:paraId="0D4DF5C9" w14:textId="66D66446" w:rsidR="00D9330B" w:rsidRPr="0061338E" w:rsidRDefault="00D9330B">
      <w:pPr>
        <w:pStyle w:val="FootnoteText"/>
      </w:pPr>
      <w:r w:rsidRPr="0061338E">
        <w:rPr>
          <w:rStyle w:val="FootnoteReference"/>
        </w:rPr>
        <w:footnoteRef/>
      </w:r>
      <w:r w:rsidRPr="0061338E">
        <w:t xml:space="preserve"> Shum, A., </w:t>
      </w:r>
      <w:proofErr w:type="spellStart"/>
      <w:r w:rsidRPr="0061338E">
        <w:t>Skripkauskaite</w:t>
      </w:r>
      <w:proofErr w:type="spellEnd"/>
      <w:r w:rsidRPr="0061338E">
        <w:t>, S., Pearcey, S., Raw, J., Waite, P., &amp; Creswell, C. (2021). Report 07: Changes in parents' mental health symptoms and stressors from April to December 2020. University of Oxford Co-Space Study.</w:t>
      </w:r>
    </w:p>
  </w:footnote>
  <w:footnote w:id="13">
    <w:p w14:paraId="3BEFD205" w14:textId="7DCC1CA8" w:rsidR="00D9330B" w:rsidRPr="0061338E" w:rsidRDefault="00D9330B" w:rsidP="00D9330B">
      <w:pPr>
        <w:rPr>
          <w:sz w:val="20"/>
          <w:szCs w:val="20"/>
        </w:rPr>
      </w:pPr>
      <w:r w:rsidRPr="0061338E">
        <w:rPr>
          <w:rStyle w:val="FootnoteReference"/>
          <w:sz w:val="20"/>
          <w:szCs w:val="20"/>
        </w:rPr>
        <w:footnoteRef/>
      </w:r>
      <w:r w:rsidRPr="0061338E">
        <w:rPr>
          <w:rFonts w:eastAsia="Times New Roman" w:cstheme="minorHAnsi"/>
          <w:sz w:val="20"/>
          <w:szCs w:val="20"/>
          <w:shd w:val="clear" w:color="auto" w:fill="F5F6F6"/>
          <w:lang w:eastAsia="en-GB"/>
        </w:rPr>
        <w:t xml:space="preserve">Davies C, Hendry A, Gibson SP, </w:t>
      </w:r>
      <w:proofErr w:type="spellStart"/>
      <w:r w:rsidRPr="0061338E">
        <w:rPr>
          <w:rFonts w:eastAsia="Times New Roman" w:cstheme="minorHAnsi"/>
          <w:sz w:val="20"/>
          <w:szCs w:val="20"/>
          <w:shd w:val="clear" w:color="auto" w:fill="F5F6F6"/>
          <w:lang w:eastAsia="en-GB"/>
        </w:rPr>
        <w:t>Gliga</w:t>
      </w:r>
      <w:proofErr w:type="spellEnd"/>
      <w:r w:rsidRPr="0061338E">
        <w:rPr>
          <w:rFonts w:eastAsia="Times New Roman" w:cstheme="minorHAnsi"/>
          <w:sz w:val="20"/>
          <w:szCs w:val="20"/>
          <w:shd w:val="clear" w:color="auto" w:fill="F5F6F6"/>
          <w:lang w:eastAsia="en-GB"/>
        </w:rPr>
        <w:t xml:space="preserve"> T, </w:t>
      </w:r>
      <w:proofErr w:type="spellStart"/>
      <w:r w:rsidRPr="0061338E">
        <w:rPr>
          <w:rFonts w:eastAsia="Times New Roman" w:cstheme="minorHAnsi"/>
          <w:sz w:val="20"/>
          <w:szCs w:val="20"/>
          <w:shd w:val="clear" w:color="auto" w:fill="F5F6F6"/>
          <w:lang w:eastAsia="en-GB"/>
        </w:rPr>
        <w:t>McGillion</w:t>
      </w:r>
      <w:proofErr w:type="spellEnd"/>
      <w:r w:rsidRPr="0061338E">
        <w:rPr>
          <w:rFonts w:eastAsia="Times New Roman" w:cstheme="minorHAnsi"/>
          <w:sz w:val="20"/>
          <w:szCs w:val="20"/>
          <w:shd w:val="clear" w:color="auto" w:fill="F5F6F6"/>
          <w:lang w:eastAsia="en-GB"/>
        </w:rPr>
        <w:t xml:space="preserve"> M, Gonzalez‐Gomez N, 'Early childhood education and care (ECEC) during COVID‐19 boosts growth in language and executive function'</w:t>
      </w:r>
      <w:r w:rsidRPr="0061338E">
        <w:rPr>
          <w:rFonts w:eastAsia="Times New Roman" w:cstheme="minorHAnsi"/>
          <w:sz w:val="20"/>
          <w:szCs w:val="20"/>
          <w:lang w:eastAsia="en-GB"/>
        </w:rPr>
        <w:br/>
      </w:r>
      <w:r w:rsidRPr="0061338E">
        <w:rPr>
          <w:rFonts w:eastAsia="Times New Roman" w:cstheme="minorHAnsi"/>
          <w:i/>
          <w:iCs/>
          <w:sz w:val="20"/>
          <w:szCs w:val="20"/>
          <w:shd w:val="clear" w:color="auto" w:fill="F5F6F6"/>
          <w:lang w:eastAsia="en-GB"/>
        </w:rPr>
        <w:t>Infant and Child Development</w:t>
      </w:r>
      <w:r w:rsidRPr="0061338E">
        <w:rPr>
          <w:rFonts w:eastAsia="Times New Roman" w:cstheme="minorHAnsi"/>
          <w:sz w:val="20"/>
          <w:szCs w:val="20"/>
          <w:shd w:val="clear" w:color="auto" w:fill="F5F6F6"/>
          <w:lang w:eastAsia="en-GB"/>
        </w:rPr>
        <w:t> 30 (4) (2021)</w:t>
      </w:r>
      <w:r w:rsidRPr="0061338E">
        <w:rPr>
          <w:rFonts w:eastAsia="Times New Roman" w:cstheme="minorHAnsi"/>
          <w:sz w:val="20"/>
          <w:szCs w:val="20"/>
          <w:lang w:eastAsia="en-GB"/>
        </w:rPr>
        <w:t xml:space="preserve"> </w:t>
      </w:r>
      <w:r w:rsidRPr="00D9330B">
        <w:rPr>
          <w:rFonts w:eastAsia="Times New Roman" w:cstheme="minorHAnsi"/>
          <w:sz w:val="20"/>
          <w:szCs w:val="20"/>
          <w:lang w:eastAsia="en-GB"/>
        </w:rPr>
        <w:t xml:space="preserve">ISSN: 1522-7227 </w:t>
      </w:r>
      <w:proofErr w:type="spellStart"/>
      <w:r w:rsidRPr="00D9330B">
        <w:rPr>
          <w:rFonts w:eastAsia="Times New Roman" w:cstheme="minorHAnsi"/>
          <w:sz w:val="20"/>
          <w:szCs w:val="20"/>
          <w:lang w:eastAsia="en-GB"/>
        </w:rPr>
        <w:t>eISSN</w:t>
      </w:r>
      <w:proofErr w:type="spellEnd"/>
      <w:r w:rsidRPr="00D9330B">
        <w:rPr>
          <w:rFonts w:eastAsia="Times New Roman" w:cstheme="minorHAnsi"/>
          <w:sz w:val="20"/>
          <w:szCs w:val="20"/>
          <w:lang w:eastAsia="en-GB"/>
        </w:rPr>
        <w:t>: 1522-7219</w:t>
      </w:r>
    </w:p>
  </w:footnote>
  <w:footnote w:id="14">
    <w:p w14:paraId="59DD388C" w14:textId="244F0C7A" w:rsidR="000905CE" w:rsidRPr="0061338E" w:rsidRDefault="000905CE">
      <w:pPr>
        <w:pStyle w:val="FootnoteText"/>
      </w:pPr>
      <w:r w:rsidRPr="0061338E">
        <w:rPr>
          <w:rStyle w:val="FootnoteReference"/>
        </w:rPr>
        <w:footnoteRef/>
      </w:r>
      <w:r w:rsidRPr="0061338E">
        <w:t xml:space="preserve"> </w:t>
      </w:r>
      <w:proofErr w:type="spellStart"/>
      <w:r w:rsidRPr="0061338E">
        <w:t>Center</w:t>
      </w:r>
      <w:proofErr w:type="spellEnd"/>
      <w:r w:rsidRPr="0061338E">
        <w:t xml:space="preserve"> on the Developing Child. (2010). Foundations of lifelong health are built in early childhood. Retrieved from www. developingchild.harvard.edu</w:t>
      </w:r>
    </w:p>
  </w:footnote>
  <w:footnote w:id="15">
    <w:p w14:paraId="03EB74E0" w14:textId="48D22A65" w:rsidR="000905CE" w:rsidRPr="0061338E" w:rsidRDefault="000905CE">
      <w:pPr>
        <w:pStyle w:val="FootnoteText"/>
      </w:pPr>
      <w:r w:rsidRPr="0061338E">
        <w:rPr>
          <w:rStyle w:val="FootnoteReference"/>
        </w:rPr>
        <w:footnoteRef/>
      </w:r>
      <w:r w:rsidRPr="0061338E">
        <w:t>Heckman, J. J. (2006). Skill formation and the economics of investing in disadvantaged children. Science, 312(5782), 1900–1902.</w:t>
      </w:r>
    </w:p>
  </w:footnote>
  <w:footnote w:id="16">
    <w:p w14:paraId="1DF122DB" w14:textId="25A480F7" w:rsidR="004108EC" w:rsidRPr="0061338E" w:rsidRDefault="004108EC">
      <w:pPr>
        <w:pStyle w:val="FootnoteText"/>
      </w:pPr>
      <w:r w:rsidRPr="0061338E">
        <w:rPr>
          <w:rStyle w:val="FootnoteReference"/>
        </w:rPr>
        <w:footnoteRef/>
      </w:r>
      <w:r w:rsidRPr="0061338E">
        <w:t xml:space="preserve"> </w:t>
      </w:r>
      <w:hyperlink r:id="rId1" w:history="1">
        <w:r w:rsidRPr="0061338E">
          <w:rPr>
            <w:rStyle w:val="Hyperlink"/>
            <w:color w:val="auto"/>
          </w:rPr>
          <w:t>EEF, 2018</w:t>
        </w:r>
      </w:hyperlink>
    </w:p>
  </w:footnote>
  <w:footnote w:id="17">
    <w:p w14:paraId="466E1E03" w14:textId="77777777" w:rsidR="00E930E9" w:rsidRPr="008A57B1" w:rsidRDefault="00E930E9" w:rsidP="00E930E9">
      <w:pPr>
        <w:pStyle w:val="FootnoteText"/>
      </w:pPr>
      <w:r>
        <w:rPr>
          <w:rStyle w:val="FootnoteReference"/>
        </w:rPr>
        <w:footnoteRef/>
      </w:r>
      <w:r>
        <w:t xml:space="preserve"> </w:t>
      </w:r>
      <w:r w:rsidRPr="008A57B1">
        <w:t>Rebecca Jones (2015). Reducing the impact of language delay on two to three year olds in Bridgend. Abertawe BRO Morgannwg University Health Board: Swansea. http://www.nhswalesawards.wales.nhs.uk/previous-nhs-wales-awards-winners</w:t>
      </w:r>
    </w:p>
  </w:footnote>
  <w:footnote w:id="18">
    <w:p w14:paraId="6510D765" w14:textId="77777777" w:rsidR="008A57B1" w:rsidRPr="008A57B1" w:rsidRDefault="0061338E" w:rsidP="008A57B1">
      <w:pPr>
        <w:pStyle w:val="FootnoteText"/>
        <w:rPr>
          <w:rFonts w:ascii="Calibri" w:hAnsi="Calibri" w:cs="Arial"/>
        </w:rPr>
      </w:pPr>
      <w:r w:rsidRPr="008A57B1">
        <w:rPr>
          <w:rStyle w:val="FootnoteReference"/>
        </w:rPr>
        <w:footnoteRef/>
      </w:r>
      <w:r w:rsidR="008A57B1" w:rsidRPr="008A57B1">
        <w:rPr>
          <w:rFonts w:ascii="Calibri" w:hAnsi="Calibri" w:cs="Arial"/>
        </w:rPr>
        <w:t>Save the Children (2018). Little Pieces, Big Picture.  Cardiff: Save the Children.</w:t>
      </w:r>
    </w:p>
    <w:p w14:paraId="4AFE6A37" w14:textId="52242A90" w:rsidR="0061338E" w:rsidRPr="008A57B1" w:rsidRDefault="006133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85F" w14:textId="3F424EAE" w:rsidR="00CD33D8" w:rsidRDefault="00CD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5E11" w14:textId="6DD14E83" w:rsidR="00CD33D8" w:rsidRDefault="00CD3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4C57" w14:textId="2FEA0158" w:rsidR="00CD33D8" w:rsidRDefault="00CD3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06E"/>
    <w:multiLevelType w:val="hybridMultilevel"/>
    <w:tmpl w:val="172C5B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97928"/>
    <w:multiLevelType w:val="hybridMultilevel"/>
    <w:tmpl w:val="6C08F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71018"/>
    <w:multiLevelType w:val="multilevel"/>
    <w:tmpl w:val="4F52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46B23"/>
    <w:multiLevelType w:val="hybridMultilevel"/>
    <w:tmpl w:val="F8EA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52029E"/>
    <w:multiLevelType w:val="hybridMultilevel"/>
    <w:tmpl w:val="77EC3E26"/>
    <w:lvl w:ilvl="0" w:tplc="FFFFFFFF">
      <w:start w:val="1"/>
      <w:numFmt w:val="decimal"/>
      <w:lvlText w:val="%1."/>
      <w:lvlJc w:val="left"/>
      <w:pPr>
        <w:ind w:left="81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5466BE"/>
    <w:multiLevelType w:val="hybridMultilevel"/>
    <w:tmpl w:val="AEE05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A72CC0"/>
    <w:multiLevelType w:val="multilevel"/>
    <w:tmpl w:val="1F30F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D1D"/>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505BED"/>
    <w:multiLevelType w:val="hybridMultilevel"/>
    <w:tmpl w:val="CB2A9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1E5586"/>
    <w:multiLevelType w:val="hybridMultilevel"/>
    <w:tmpl w:val="DDC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A74A1"/>
    <w:multiLevelType w:val="hybridMultilevel"/>
    <w:tmpl w:val="33E8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20FF2"/>
    <w:multiLevelType w:val="hybridMultilevel"/>
    <w:tmpl w:val="F99EE03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2495A19"/>
    <w:multiLevelType w:val="hybridMultilevel"/>
    <w:tmpl w:val="17325D4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69ED7168"/>
    <w:multiLevelType w:val="hybridMultilevel"/>
    <w:tmpl w:val="317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B270A"/>
    <w:multiLevelType w:val="hybridMultilevel"/>
    <w:tmpl w:val="6C0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D314B"/>
    <w:multiLevelType w:val="hybridMultilevel"/>
    <w:tmpl w:val="3C8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67CA4"/>
    <w:multiLevelType w:val="multilevel"/>
    <w:tmpl w:val="E61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4"/>
  </w:num>
  <w:num w:numId="4">
    <w:abstractNumId w:val="13"/>
  </w:num>
  <w:num w:numId="5">
    <w:abstractNumId w:val="18"/>
  </w:num>
  <w:num w:numId="6">
    <w:abstractNumId w:val="15"/>
  </w:num>
  <w:num w:numId="7">
    <w:abstractNumId w:val="2"/>
  </w:num>
  <w:num w:numId="8">
    <w:abstractNumId w:val="5"/>
  </w:num>
  <w:num w:numId="9">
    <w:abstractNumId w:val="16"/>
  </w:num>
  <w:num w:numId="10">
    <w:abstractNumId w:val="0"/>
  </w:num>
  <w:num w:numId="11">
    <w:abstractNumId w:val="11"/>
  </w:num>
  <w:num w:numId="12">
    <w:abstractNumId w:val="10"/>
  </w:num>
  <w:num w:numId="13">
    <w:abstractNumId w:val="7"/>
  </w:num>
  <w:num w:numId="14">
    <w:abstractNumId w:val="9"/>
  </w:num>
  <w:num w:numId="15">
    <w:abstractNumId w:val="17"/>
  </w:num>
  <w:num w:numId="16">
    <w:abstractNumId w:val="1"/>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4F"/>
    <w:rsid w:val="000905CE"/>
    <w:rsid w:val="00191413"/>
    <w:rsid w:val="001B0A23"/>
    <w:rsid w:val="001E7CC2"/>
    <w:rsid w:val="002179EE"/>
    <w:rsid w:val="00245E37"/>
    <w:rsid w:val="002507CA"/>
    <w:rsid w:val="0028005F"/>
    <w:rsid w:val="00287E46"/>
    <w:rsid w:val="002B003D"/>
    <w:rsid w:val="003108F0"/>
    <w:rsid w:val="00366008"/>
    <w:rsid w:val="00387860"/>
    <w:rsid w:val="003C5D75"/>
    <w:rsid w:val="004108EC"/>
    <w:rsid w:val="004B5EAF"/>
    <w:rsid w:val="004B6460"/>
    <w:rsid w:val="00551A49"/>
    <w:rsid w:val="00563668"/>
    <w:rsid w:val="00580867"/>
    <w:rsid w:val="0058264F"/>
    <w:rsid w:val="005A4141"/>
    <w:rsid w:val="005A5D47"/>
    <w:rsid w:val="005D4FFA"/>
    <w:rsid w:val="0061338E"/>
    <w:rsid w:val="00627A7A"/>
    <w:rsid w:val="00637B63"/>
    <w:rsid w:val="007E6E51"/>
    <w:rsid w:val="007F2A56"/>
    <w:rsid w:val="008046FC"/>
    <w:rsid w:val="008212F2"/>
    <w:rsid w:val="00830CF6"/>
    <w:rsid w:val="00871832"/>
    <w:rsid w:val="008A57B1"/>
    <w:rsid w:val="008D5CA6"/>
    <w:rsid w:val="00916B98"/>
    <w:rsid w:val="00A12CAB"/>
    <w:rsid w:val="00A150DA"/>
    <w:rsid w:val="00A37536"/>
    <w:rsid w:val="00A4396B"/>
    <w:rsid w:val="00A65E4B"/>
    <w:rsid w:val="00A82537"/>
    <w:rsid w:val="00A84674"/>
    <w:rsid w:val="00AF1BFE"/>
    <w:rsid w:val="00B028A7"/>
    <w:rsid w:val="00B1653D"/>
    <w:rsid w:val="00B6316D"/>
    <w:rsid w:val="00B95854"/>
    <w:rsid w:val="00C24CBB"/>
    <w:rsid w:val="00C84E48"/>
    <w:rsid w:val="00CC606C"/>
    <w:rsid w:val="00CD33D8"/>
    <w:rsid w:val="00CD408F"/>
    <w:rsid w:val="00CF13AD"/>
    <w:rsid w:val="00D2435E"/>
    <w:rsid w:val="00D45EEC"/>
    <w:rsid w:val="00D56FA3"/>
    <w:rsid w:val="00D60793"/>
    <w:rsid w:val="00D9330B"/>
    <w:rsid w:val="00D95E7E"/>
    <w:rsid w:val="00DA6DC3"/>
    <w:rsid w:val="00DD450E"/>
    <w:rsid w:val="00E21511"/>
    <w:rsid w:val="00E3658B"/>
    <w:rsid w:val="00E930E9"/>
    <w:rsid w:val="00EA1BB1"/>
    <w:rsid w:val="00EE7CCC"/>
    <w:rsid w:val="00EF19CC"/>
    <w:rsid w:val="00F3562B"/>
    <w:rsid w:val="00F6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B3E7D"/>
  <w15:chartTrackingRefBased/>
  <w15:docId w15:val="{2FED8416-F5AF-4F17-A2E0-C711A71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64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58264F"/>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58264F"/>
  </w:style>
  <w:style w:type="paragraph" w:styleId="NormalWeb">
    <w:name w:val="Normal (Web)"/>
    <w:basedOn w:val="Normal"/>
    <w:uiPriority w:val="99"/>
    <w:unhideWhenUsed/>
    <w:rsid w:val="0058264F"/>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58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4F"/>
  </w:style>
  <w:style w:type="paragraph" w:styleId="FootnoteText">
    <w:name w:val="footnote text"/>
    <w:basedOn w:val="Normal"/>
    <w:link w:val="FootnoteTextChar"/>
    <w:uiPriority w:val="99"/>
    <w:semiHidden/>
    <w:unhideWhenUsed/>
    <w:rsid w:val="00582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64F"/>
    <w:rPr>
      <w:sz w:val="20"/>
      <w:szCs w:val="20"/>
    </w:rPr>
  </w:style>
  <w:style w:type="character" w:styleId="FootnoteReference">
    <w:name w:val="footnote reference"/>
    <w:basedOn w:val="DefaultParagraphFont"/>
    <w:uiPriority w:val="99"/>
    <w:semiHidden/>
    <w:unhideWhenUsed/>
    <w:rsid w:val="0058264F"/>
    <w:rPr>
      <w:vertAlign w:val="superscript"/>
    </w:rPr>
  </w:style>
  <w:style w:type="paragraph" w:customStyle="1" w:styleId="Default">
    <w:name w:val="Default"/>
    <w:rsid w:val="00916B98"/>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9">
    <w:name w:val="A9"/>
    <w:uiPriority w:val="99"/>
    <w:rsid w:val="001B0A23"/>
    <w:rPr>
      <w:rFonts w:cs="Alright Sans Regular Italic"/>
      <w:color w:val="000000"/>
      <w:sz w:val="14"/>
      <w:szCs w:val="14"/>
    </w:rPr>
  </w:style>
  <w:style w:type="paragraph" w:styleId="Header">
    <w:name w:val="header"/>
    <w:basedOn w:val="Normal"/>
    <w:link w:val="HeaderChar"/>
    <w:uiPriority w:val="99"/>
    <w:unhideWhenUsed/>
    <w:rsid w:val="0080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6FC"/>
  </w:style>
  <w:style w:type="character" w:styleId="UnresolvedMention">
    <w:name w:val="Unresolved Mention"/>
    <w:basedOn w:val="DefaultParagraphFont"/>
    <w:uiPriority w:val="99"/>
    <w:semiHidden/>
    <w:unhideWhenUsed/>
    <w:rsid w:val="004108EC"/>
    <w:rPr>
      <w:color w:val="605E5C"/>
      <w:shd w:val="clear" w:color="auto" w:fill="E1DFDD"/>
    </w:rPr>
  </w:style>
  <w:style w:type="paragraph" w:styleId="BalloonText">
    <w:name w:val="Balloon Text"/>
    <w:basedOn w:val="Normal"/>
    <w:link w:val="BalloonTextChar"/>
    <w:uiPriority w:val="99"/>
    <w:semiHidden/>
    <w:unhideWhenUsed/>
    <w:rsid w:val="002800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0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005F"/>
    <w:rPr>
      <w:sz w:val="16"/>
      <w:szCs w:val="16"/>
    </w:rPr>
  </w:style>
  <w:style w:type="paragraph" w:styleId="CommentText">
    <w:name w:val="annotation text"/>
    <w:basedOn w:val="Normal"/>
    <w:link w:val="CommentTextChar"/>
    <w:uiPriority w:val="99"/>
    <w:semiHidden/>
    <w:unhideWhenUsed/>
    <w:rsid w:val="0028005F"/>
    <w:pPr>
      <w:spacing w:line="240" w:lineRule="auto"/>
    </w:pPr>
    <w:rPr>
      <w:sz w:val="20"/>
      <w:szCs w:val="20"/>
    </w:rPr>
  </w:style>
  <w:style w:type="character" w:customStyle="1" w:styleId="CommentTextChar">
    <w:name w:val="Comment Text Char"/>
    <w:basedOn w:val="DefaultParagraphFont"/>
    <w:link w:val="CommentText"/>
    <w:uiPriority w:val="99"/>
    <w:semiHidden/>
    <w:rsid w:val="0028005F"/>
    <w:rPr>
      <w:sz w:val="20"/>
      <w:szCs w:val="20"/>
    </w:rPr>
  </w:style>
  <w:style w:type="paragraph" w:styleId="CommentSubject">
    <w:name w:val="annotation subject"/>
    <w:basedOn w:val="CommentText"/>
    <w:next w:val="CommentText"/>
    <w:link w:val="CommentSubjectChar"/>
    <w:uiPriority w:val="99"/>
    <w:semiHidden/>
    <w:unhideWhenUsed/>
    <w:rsid w:val="0028005F"/>
    <w:rPr>
      <w:b/>
      <w:bCs/>
    </w:rPr>
  </w:style>
  <w:style w:type="character" w:customStyle="1" w:styleId="CommentSubjectChar">
    <w:name w:val="Comment Subject Char"/>
    <w:basedOn w:val="CommentTextChar"/>
    <w:link w:val="CommentSubject"/>
    <w:uiPriority w:val="99"/>
    <w:semiHidden/>
    <w:rsid w:val="0028005F"/>
    <w:rPr>
      <w:b/>
      <w:bCs/>
      <w:sz w:val="20"/>
      <w:szCs w:val="20"/>
    </w:rPr>
  </w:style>
  <w:style w:type="paragraph" w:styleId="Revision">
    <w:name w:val="Revision"/>
    <w:hidden/>
    <w:uiPriority w:val="99"/>
    <w:semiHidden/>
    <w:rsid w:val="00A1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877">
      <w:bodyDiv w:val="1"/>
      <w:marLeft w:val="0"/>
      <w:marRight w:val="0"/>
      <w:marTop w:val="0"/>
      <w:marBottom w:val="0"/>
      <w:divBdr>
        <w:top w:val="none" w:sz="0" w:space="0" w:color="auto"/>
        <w:left w:val="none" w:sz="0" w:space="0" w:color="auto"/>
        <w:bottom w:val="none" w:sz="0" w:space="0" w:color="auto"/>
        <w:right w:val="none" w:sz="0" w:space="0" w:color="auto"/>
      </w:divBdr>
    </w:div>
    <w:div w:id="908540162">
      <w:bodyDiv w:val="1"/>
      <w:marLeft w:val="0"/>
      <w:marRight w:val="0"/>
      <w:marTop w:val="0"/>
      <w:marBottom w:val="0"/>
      <w:divBdr>
        <w:top w:val="none" w:sz="0" w:space="0" w:color="auto"/>
        <w:left w:val="none" w:sz="0" w:space="0" w:color="auto"/>
        <w:bottom w:val="none" w:sz="0" w:space="0" w:color="auto"/>
        <w:right w:val="none" w:sz="0" w:space="0" w:color="auto"/>
      </w:divBdr>
      <w:divsChild>
        <w:div w:id="1559824583">
          <w:marLeft w:val="0"/>
          <w:marRight w:val="0"/>
          <w:marTop w:val="0"/>
          <w:marBottom w:val="0"/>
          <w:divBdr>
            <w:top w:val="none" w:sz="0" w:space="0" w:color="auto"/>
            <w:left w:val="none" w:sz="0" w:space="0" w:color="auto"/>
            <w:bottom w:val="none" w:sz="0" w:space="0" w:color="auto"/>
            <w:right w:val="none" w:sz="0" w:space="0" w:color="auto"/>
          </w:divBdr>
        </w:div>
      </w:divsChild>
    </w:div>
    <w:div w:id="1271007729">
      <w:bodyDiv w:val="1"/>
      <w:marLeft w:val="0"/>
      <w:marRight w:val="0"/>
      <w:marTop w:val="0"/>
      <w:marBottom w:val="0"/>
      <w:divBdr>
        <w:top w:val="none" w:sz="0" w:space="0" w:color="auto"/>
        <w:left w:val="none" w:sz="0" w:space="0" w:color="auto"/>
        <w:bottom w:val="none" w:sz="0" w:space="0" w:color="auto"/>
        <w:right w:val="none" w:sz="0" w:space="0" w:color="auto"/>
      </w:divBdr>
    </w:div>
    <w:div w:id="16446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walters@rcsl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cotterill@rcsl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v.wales/sites/default/files/publications/2020-11/talk-with-m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sites/default/files/publications/2020-11/talk-with-me.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endowmentfoundation.org.uk/evidence-summaries/early-year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B955-0508-0240-B240-D334A8A4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2021-12-08T11:06:00Z</dcterms:created>
  <dcterms:modified xsi:type="dcterms:W3CDTF">2021-12-08T11:06:00Z</dcterms:modified>
</cp:coreProperties>
</file>