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2C9F1" w14:textId="786745F2" w:rsidR="00781D04" w:rsidRPr="00790EF8" w:rsidRDefault="00781D04" w:rsidP="00781D04">
      <w:pPr>
        <w:pStyle w:val="ydpf42a50a8msonormal"/>
        <w:rPr>
          <w:rFonts w:asciiTheme="minorHAnsi" w:hAnsiTheme="minorHAnsi" w:cstheme="minorHAnsi"/>
        </w:rPr>
      </w:pPr>
      <w:r w:rsidRPr="00790EF8">
        <w:rPr>
          <w:rFonts w:asciiTheme="minorHAnsi" w:hAnsiTheme="minorHAnsi" w:cstheme="minorHAnsi"/>
          <w:noProof/>
        </w:rPr>
        <w:drawing>
          <wp:inline distT="0" distB="0" distL="0" distR="0" wp14:anchorId="6F570DC5" wp14:editId="79B826DD">
            <wp:extent cx="5485460" cy="20002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3661" cy="2006887"/>
                    </a:xfrm>
                    <a:prstGeom prst="rect">
                      <a:avLst/>
                    </a:prstGeom>
                    <a:noFill/>
                    <a:ln>
                      <a:noFill/>
                    </a:ln>
                  </pic:spPr>
                </pic:pic>
              </a:graphicData>
            </a:graphic>
          </wp:inline>
        </w:drawing>
      </w:r>
      <w:r w:rsidRPr="00790EF8">
        <w:rPr>
          <w:rFonts w:asciiTheme="minorHAnsi" w:hAnsiTheme="minorHAnsi" w:cstheme="minorHAnsi"/>
          <w:b/>
          <w:bCs/>
          <w:u w:val="single"/>
        </w:rPr>
        <w:t>Senedd Cymru Health and Social Care Committee inquiry into mental health inequalities</w:t>
      </w:r>
    </w:p>
    <w:p w14:paraId="7DE9D054" w14:textId="77777777" w:rsidR="00781D04" w:rsidRPr="00790EF8" w:rsidRDefault="00781D04" w:rsidP="00781D04">
      <w:pPr>
        <w:pStyle w:val="ydpf42a50a8msonormal"/>
        <w:rPr>
          <w:rFonts w:asciiTheme="minorHAnsi" w:hAnsiTheme="minorHAnsi" w:cstheme="minorHAnsi"/>
        </w:rPr>
      </w:pPr>
      <w:r w:rsidRPr="00790EF8">
        <w:rPr>
          <w:rFonts w:asciiTheme="minorHAnsi" w:hAnsiTheme="minorHAnsi" w:cstheme="minorHAnsi"/>
          <w:b/>
          <w:bCs/>
        </w:rPr>
        <w:t> </w:t>
      </w:r>
    </w:p>
    <w:p w14:paraId="0DEA260C" w14:textId="77777777" w:rsidR="00781D04" w:rsidRPr="00790EF8" w:rsidRDefault="00781D04" w:rsidP="00781D04">
      <w:pPr>
        <w:pStyle w:val="ydpf42a50a8msonormal"/>
        <w:rPr>
          <w:rFonts w:asciiTheme="minorHAnsi" w:hAnsiTheme="minorHAnsi" w:cstheme="minorHAnsi"/>
        </w:rPr>
      </w:pPr>
      <w:r w:rsidRPr="00790EF8">
        <w:rPr>
          <w:rFonts w:asciiTheme="minorHAnsi" w:hAnsiTheme="minorHAnsi" w:cstheme="minorHAnsi"/>
          <w:b/>
          <w:bCs/>
          <w:u w:val="single"/>
        </w:rPr>
        <w:t>Executive summary</w:t>
      </w:r>
    </w:p>
    <w:p w14:paraId="6AC253D4" w14:textId="77777777" w:rsidR="00781D04" w:rsidRPr="00790EF8" w:rsidRDefault="00781D04" w:rsidP="00781D04">
      <w:pPr>
        <w:pStyle w:val="ydpf42a50a8msonormal"/>
        <w:rPr>
          <w:rFonts w:asciiTheme="minorHAnsi" w:hAnsiTheme="minorHAnsi" w:cstheme="minorHAnsi"/>
        </w:rPr>
      </w:pPr>
      <w:r w:rsidRPr="00790EF8">
        <w:rPr>
          <w:rFonts w:asciiTheme="minorHAnsi" w:hAnsiTheme="minorHAnsi" w:cstheme="minorHAnsi"/>
          <w:b/>
          <w:bCs/>
        </w:rPr>
        <w:t> </w:t>
      </w:r>
    </w:p>
    <w:p w14:paraId="3C16D212" w14:textId="091F94E9" w:rsidR="00781D04" w:rsidRPr="00790EF8" w:rsidRDefault="00781D04" w:rsidP="00781D04">
      <w:pPr>
        <w:pStyle w:val="ydpf42a50a8msonormal"/>
        <w:rPr>
          <w:rFonts w:asciiTheme="minorHAnsi" w:hAnsiTheme="minorHAnsi" w:cstheme="minorHAnsi"/>
        </w:rPr>
      </w:pPr>
      <w:r w:rsidRPr="00790EF8">
        <w:rPr>
          <w:rFonts w:asciiTheme="minorHAnsi" w:hAnsiTheme="minorHAnsi" w:cstheme="minorHAnsi"/>
        </w:rPr>
        <w:t>The Royal College of Speech and Language Therapists (RCSLT) Wales welcomes the opportunity to provide written evidence as part of the committee’s inquiry into mental health inequalities</w:t>
      </w:r>
      <w:r w:rsidRPr="00790EF8">
        <w:rPr>
          <w:rFonts w:asciiTheme="minorHAnsi" w:hAnsiTheme="minorHAnsi" w:cstheme="minorHAnsi"/>
          <w:b/>
          <w:bCs/>
        </w:rPr>
        <w:t xml:space="preserve">.  </w:t>
      </w:r>
      <w:r w:rsidRPr="00790EF8">
        <w:rPr>
          <w:rFonts w:asciiTheme="minorHAnsi" w:hAnsiTheme="minorHAnsi" w:cstheme="minorHAnsi"/>
        </w:rPr>
        <w:t xml:space="preserve">Our response focusses on the key questions raised within the terms of reference and is based on discussions with our members across Wales.  We are also co-signatories to the responses from the Royal College Mental Health Expert Advisory Group </w:t>
      </w:r>
      <w:r w:rsidR="00E6470A" w:rsidRPr="00790EF8">
        <w:rPr>
          <w:rFonts w:asciiTheme="minorHAnsi" w:hAnsiTheme="minorHAnsi" w:cstheme="minorHAnsi"/>
        </w:rPr>
        <w:t>(RCMHE</w:t>
      </w:r>
      <w:r w:rsidR="00EB19C5" w:rsidRPr="00790EF8">
        <w:rPr>
          <w:rFonts w:asciiTheme="minorHAnsi" w:hAnsiTheme="minorHAnsi" w:cstheme="minorHAnsi"/>
        </w:rPr>
        <w:t>A</w:t>
      </w:r>
      <w:r w:rsidR="00E6470A" w:rsidRPr="00790EF8">
        <w:rPr>
          <w:rFonts w:asciiTheme="minorHAnsi" w:hAnsiTheme="minorHAnsi" w:cstheme="minorHAnsi"/>
        </w:rPr>
        <w:t xml:space="preserve">G) </w:t>
      </w:r>
      <w:r w:rsidRPr="00790EF8">
        <w:rPr>
          <w:rFonts w:asciiTheme="minorHAnsi" w:hAnsiTheme="minorHAnsi" w:cstheme="minorHAnsi"/>
        </w:rPr>
        <w:t>and the </w:t>
      </w:r>
      <w:r w:rsidRPr="00790EF8">
        <w:rPr>
          <w:rFonts w:asciiTheme="minorHAnsi" w:eastAsia="Montserrat" w:hAnsiTheme="minorHAnsi" w:cstheme="minorHAnsi"/>
          <w:lang w:eastAsia="en-US"/>
        </w:rPr>
        <w:t>Welsh NHS Confederation Health and Wellbeing Alliance’s Mental Health Subgroup</w:t>
      </w:r>
      <w:r w:rsidRPr="00790EF8">
        <w:rPr>
          <w:rFonts w:asciiTheme="minorHAnsi" w:hAnsiTheme="minorHAnsi" w:cstheme="minorHAnsi"/>
        </w:rPr>
        <w:t>.</w:t>
      </w:r>
    </w:p>
    <w:p w14:paraId="5285BF26" w14:textId="77777777" w:rsidR="00781D04" w:rsidRPr="00790EF8" w:rsidRDefault="00781D04" w:rsidP="00781D04">
      <w:pPr>
        <w:pStyle w:val="ydpf42a50a8msonormal"/>
        <w:rPr>
          <w:rFonts w:asciiTheme="minorHAnsi" w:hAnsiTheme="minorHAnsi" w:cstheme="minorHAnsi"/>
        </w:rPr>
      </w:pPr>
      <w:r w:rsidRPr="00790EF8">
        <w:rPr>
          <w:rFonts w:asciiTheme="minorHAnsi" w:hAnsiTheme="minorHAnsi" w:cstheme="minorHAnsi"/>
        </w:rPr>
        <w:t> </w:t>
      </w:r>
    </w:p>
    <w:p w14:paraId="70030100" w14:textId="77777777" w:rsidR="00781D04" w:rsidRPr="00790EF8" w:rsidRDefault="00781D04" w:rsidP="00781D04">
      <w:pPr>
        <w:pStyle w:val="ydpf42a50a8msonormal"/>
        <w:rPr>
          <w:rFonts w:asciiTheme="minorHAnsi" w:hAnsiTheme="minorHAnsi" w:cstheme="minorHAnsi"/>
          <w:u w:val="single"/>
        </w:rPr>
      </w:pPr>
      <w:r w:rsidRPr="00790EF8">
        <w:rPr>
          <w:rFonts w:asciiTheme="minorHAnsi" w:hAnsiTheme="minorHAnsi" w:cstheme="minorHAnsi"/>
          <w:b/>
          <w:bCs/>
          <w:u w:val="single"/>
        </w:rPr>
        <w:t>Key points</w:t>
      </w:r>
    </w:p>
    <w:p w14:paraId="3E4A41EE" w14:textId="77777777" w:rsidR="00781D04" w:rsidRPr="00790EF8" w:rsidRDefault="00781D04" w:rsidP="00781D04">
      <w:pPr>
        <w:pStyle w:val="ydpf42a50a8msonormal"/>
        <w:rPr>
          <w:rFonts w:asciiTheme="minorHAnsi" w:hAnsiTheme="minorHAnsi" w:cstheme="minorHAnsi"/>
        </w:rPr>
      </w:pPr>
      <w:r w:rsidRPr="00790EF8">
        <w:rPr>
          <w:rFonts w:asciiTheme="minorHAnsi" w:hAnsiTheme="minorHAnsi" w:cstheme="minorHAnsi"/>
          <w:b/>
          <w:bCs/>
        </w:rPr>
        <w:t> </w:t>
      </w:r>
    </w:p>
    <w:p w14:paraId="41D014B6" w14:textId="7F3DE8B4" w:rsidR="00781D04" w:rsidRPr="00790EF8" w:rsidRDefault="00781D04" w:rsidP="009D098A">
      <w:pPr>
        <w:pStyle w:val="ydpf42a50a8msolistparagraph"/>
        <w:numPr>
          <w:ilvl w:val="0"/>
          <w:numId w:val="2"/>
        </w:numPr>
        <w:rPr>
          <w:rFonts w:asciiTheme="minorHAnsi" w:hAnsiTheme="minorHAnsi" w:cstheme="minorHAnsi"/>
        </w:rPr>
      </w:pPr>
      <w:r w:rsidRPr="00790EF8">
        <w:rPr>
          <w:rFonts w:asciiTheme="minorHAnsi" w:hAnsiTheme="minorHAnsi" w:cstheme="minorHAnsi"/>
        </w:rPr>
        <w:t xml:space="preserve">Our members report that following the pandemic, people of all ages are presenting with more complex needs and in far greater numbers with mental health difficulties.  </w:t>
      </w:r>
    </w:p>
    <w:p w14:paraId="66B76E5F" w14:textId="1426AE71" w:rsidR="00781D04" w:rsidRPr="00790EF8" w:rsidRDefault="00781D04" w:rsidP="009D098A">
      <w:pPr>
        <w:pStyle w:val="ydpf42a50a8msolistparagraph"/>
        <w:numPr>
          <w:ilvl w:val="0"/>
          <w:numId w:val="2"/>
        </w:numPr>
        <w:rPr>
          <w:rFonts w:asciiTheme="minorHAnsi" w:hAnsiTheme="minorHAnsi" w:cstheme="minorHAnsi"/>
        </w:rPr>
      </w:pPr>
      <w:r w:rsidRPr="00790EF8">
        <w:rPr>
          <w:rFonts w:asciiTheme="minorHAnsi" w:hAnsiTheme="minorHAnsi" w:cstheme="minorHAnsi"/>
        </w:rPr>
        <w:t xml:space="preserve">There are however </w:t>
      </w:r>
      <w:proofErr w:type="gramStart"/>
      <w:r w:rsidRPr="00790EF8">
        <w:rPr>
          <w:rFonts w:asciiTheme="minorHAnsi" w:hAnsiTheme="minorHAnsi" w:cstheme="minorHAnsi"/>
        </w:rPr>
        <w:t>a number of</w:t>
      </w:r>
      <w:proofErr w:type="gramEnd"/>
      <w:r w:rsidRPr="00790EF8">
        <w:rPr>
          <w:rFonts w:asciiTheme="minorHAnsi" w:hAnsiTheme="minorHAnsi" w:cstheme="minorHAnsi"/>
        </w:rPr>
        <w:t xml:space="preserve"> groups who are disproportionately affected by poor mental health.  Discrimination is an important underlying factor that can contribute to health inequalities. </w:t>
      </w:r>
    </w:p>
    <w:p w14:paraId="26120DB4" w14:textId="3C6C9FFF" w:rsidR="00781D04" w:rsidRPr="00790EF8" w:rsidRDefault="00781D04" w:rsidP="009D098A">
      <w:pPr>
        <w:pStyle w:val="ydpf42a50a8msolistparagraph"/>
        <w:numPr>
          <w:ilvl w:val="0"/>
          <w:numId w:val="2"/>
        </w:numPr>
        <w:rPr>
          <w:rFonts w:asciiTheme="minorHAnsi" w:hAnsiTheme="minorHAnsi" w:cstheme="minorHAnsi"/>
        </w:rPr>
      </w:pPr>
      <w:r w:rsidRPr="00790EF8">
        <w:rPr>
          <w:rFonts w:asciiTheme="minorHAnsi" w:hAnsiTheme="minorHAnsi" w:cstheme="minorHAnsi"/>
        </w:rPr>
        <w:t>People with a primary communication difficulty of all ages are at a greater risk of experiencing mental health problems than their peers</w:t>
      </w:r>
      <w:r w:rsidR="00E6470A" w:rsidRPr="00790EF8">
        <w:rPr>
          <w:rFonts w:asciiTheme="minorHAnsi" w:hAnsiTheme="minorHAnsi" w:cstheme="minorHAnsi"/>
        </w:rPr>
        <w:t>.</w:t>
      </w:r>
    </w:p>
    <w:p w14:paraId="1DA4680B" w14:textId="339C6B86" w:rsidR="00781D04" w:rsidRPr="00790EF8" w:rsidRDefault="00781D04" w:rsidP="009D098A">
      <w:pPr>
        <w:pStyle w:val="ydpf42a50a8msolistparagraph"/>
        <w:numPr>
          <w:ilvl w:val="0"/>
          <w:numId w:val="2"/>
        </w:numPr>
        <w:rPr>
          <w:rFonts w:asciiTheme="minorHAnsi" w:hAnsiTheme="minorHAnsi" w:cstheme="minorHAnsi"/>
        </w:rPr>
      </w:pPr>
      <w:r w:rsidRPr="00790EF8">
        <w:rPr>
          <w:rFonts w:asciiTheme="minorHAnsi" w:hAnsiTheme="minorHAnsi" w:cstheme="minorHAnsi"/>
        </w:rPr>
        <w:t>Giv</w:t>
      </w:r>
      <w:r w:rsidR="00317699">
        <w:rPr>
          <w:rFonts w:asciiTheme="minorHAnsi" w:hAnsiTheme="minorHAnsi" w:cstheme="minorHAnsi"/>
        </w:rPr>
        <w:t>en</w:t>
      </w:r>
      <w:r w:rsidRPr="00790EF8">
        <w:rPr>
          <w:rFonts w:asciiTheme="minorHAnsi" w:hAnsiTheme="minorHAnsi" w:cstheme="minorHAnsi"/>
        </w:rPr>
        <w:t xml:space="preserve"> the </w:t>
      </w:r>
      <w:r w:rsidRPr="00790EF8">
        <w:rPr>
          <w:rFonts w:asciiTheme="minorHAnsi" w:hAnsiTheme="minorHAnsi" w:cstheme="minorHAnsi"/>
          <w:lang w:val="en-US"/>
        </w:rPr>
        <w:t xml:space="preserve">the compelling evidence about the important links between mental health and communication and swallowing difficulties, we are concerned that </w:t>
      </w:r>
      <w:r w:rsidRPr="00790EF8">
        <w:rPr>
          <w:rFonts w:asciiTheme="minorHAnsi" w:hAnsiTheme="minorHAnsi" w:cstheme="minorHAnsi"/>
        </w:rPr>
        <w:t>currently in Wales, speech and language therapists do not form part of core mental health teams.  This is a clear policy gap and requires focus within the mental health workforce plan.</w:t>
      </w:r>
    </w:p>
    <w:p w14:paraId="47382392" w14:textId="7A7B2E73" w:rsidR="00781D04" w:rsidRPr="00790EF8" w:rsidRDefault="00781D04" w:rsidP="009D098A">
      <w:pPr>
        <w:pStyle w:val="ydpf42a50a8msolistparagraph"/>
        <w:numPr>
          <w:ilvl w:val="0"/>
          <w:numId w:val="2"/>
        </w:numPr>
        <w:rPr>
          <w:rFonts w:asciiTheme="minorHAnsi" w:hAnsiTheme="minorHAnsi" w:cstheme="minorHAnsi"/>
        </w:rPr>
      </w:pPr>
      <w:r w:rsidRPr="00790EF8">
        <w:rPr>
          <w:rFonts w:asciiTheme="minorHAnsi" w:hAnsiTheme="minorHAnsi" w:cstheme="minorHAnsi"/>
        </w:rPr>
        <w:t xml:space="preserve">We are calling for a cross-government approach to mental health inequalities to tackle the multi-factorial nature of the issue. </w:t>
      </w:r>
    </w:p>
    <w:p w14:paraId="4FB96D02" w14:textId="6F38977E" w:rsidR="00B53169" w:rsidRPr="00790EF8" w:rsidRDefault="00B53169">
      <w:pPr>
        <w:spacing w:after="160" w:line="259" w:lineRule="auto"/>
        <w:rPr>
          <w:rFonts w:asciiTheme="minorHAnsi" w:hAnsiTheme="minorHAnsi" w:cstheme="minorHAnsi"/>
          <w:b/>
          <w:bCs/>
        </w:rPr>
      </w:pPr>
      <w:r w:rsidRPr="00790EF8">
        <w:rPr>
          <w:rFonts w:asciiTheme="minorHAnsi" w:hAnsiTheme="minorHAnsi" w:cstheme="minorHAnsi"/>
          <w:b/>
          <w:bCs/>
        </w:rPr>
        <w:br w:type="page"/>
      </w:r>
    </w:p>
    <w:p w14:paraId="1797BED2" w14:textId="77777777" w:rsidR="00781D04" w:rsidRPr="00790EF8" w:rsidRDefault="00781D04" w:rsidP="00781D04">
      <w:pPr>
        <w:pStyle w:val="ydpf42a50a8msonormal"/>
        <w:rPr>
          <w:rFonts w:asciiTheme="minorHAnsi" w:hAnsiTheme="minorHAnsi" w:cstheme="minorHAnsi"/>
        </w:rPr>
      </w:pPr>
      <w:r w:rsidRPr="00790EF8">
        <w:rPr>
          <w:rFonts w:asciiTheme="minorHAnsi" w:hAnsiTheme="minorHAnsi" w:cstheme="minorHAnsi"/>
          <w:b/>
          <w:bCs/>
        </w:rPr>
        <w:lastRenderedPageBreak/>
        <w:t>About the Royal College of Speech and Language Therapists</w:t>
      </w:r>
    </w:p>
    <w:p w14:paraId="338030A4" w14:textId="77777777" w:rsidR="00781D04" w:rsidRPr="00790EF8" w:rsidRDefault="00781D04" w:rsidP="00781D04">
      <w:pPr>
        <w:pStyle w:val="ydpf42a50a8msolistparagraph"/>
        <w:rPr>
          <w:rFonts w:asciiTheme="minorHAnsi" w:hAnsiTheme="minorHAnsi" w:cstheme="minorHAnsi"/>
        </w:rPr>
      </w:pPr>
      <w:r w:rsidRPr="00790EF8">
        <w:rPr>
          <w:rFonts w:asciiTheme="minorHAnsi" w:hAnsiTheme="minorHAnsi" w:cstheme="minorHAnsi"/>
        </w:rPr>
        <w:t> </w:t>
      </w:r>
    </w:p>
    <w:p w14:paraId="629DD7BE" w14:textId="7FC2F7EB" w:rsidR="009D098A" w:rsidRPr="00790EF8" w:rsidRDefault="00781D04" w:rsidP="009D098A">
      <w:pPr>
        <w:pStyle w:val="ydpf42a50a8msolistparagraph"/>
        <w:numPr>
          <w:ilvl w:val="0"/>
          <w:numId w:val="3"/>
        </w:numPr>
        <w:rPr>
          <w:rFonts w:asciiTheme="minorHAnsi" w:hAnsiTheme="minorHAnsi" w:cstheme="minorHAnsi"/>
        </w:rPr>
      </w:pPr>
      <w:r w:rsidRPr="00790EF8">
        <w:rPr>
          <w:rFonts w:asciiTheme="minorHAnsi" w:hAnsiTheme="minorHAnsi" w:cstheme="minorHAnsi"/>
        </w:rPr>
        <w:t>RCSLT is the professional body for speech and language therapists</w:t>
      </w:r>
      <w:r w:rsidR="00EB19C5" w:rsidRPr="00790EF8">
        <w:rPr>
          <w:rFonts w:asciiTheme="minorHAnsi" w:hAnsiTheme="minorHAnsi" w:cstheme="minorHAnsi"/>
        </w:rPr>
        <w:t xml:space="preserve"> (SLTs)</w:t>
      </w:r>
      <w:r w:rsidRPr="00790EF8">
        <w:rPr>
          <w:rFonts w:asciiTheme="minorHAnsi" w:hAnsiTheme="minorHAnsi" w:cstheme="minorHAnsi"/>
        </w:rPr>
        <w:t xml:space="preserve">, SLT students and support workers working in the UK.  The RCSLT has 17,500 members in the UK (650 in Wales) representing approximately 95% of SLTs working in the UK (who are registered with the Health &amp; Care Professions Council).  We promote excellence in practice and influence health, education, </w:t>
      </w:r>
      <w:proofErr w:type="gramStart"/>
      <w:r w:rsidRPr="00790EF8">
        <w:rPr>
          <w:rFonts w:asciiTheme="minorHAnsi" w:hAnsiTheme="minorHAnsi" w:cstheme="minorHAnsi"/>
        </w:rPr>
        <w:t>care</w:t>
      </w:r>
      <w:proofErr w:type="gramEnd"/>
      <w:r w:rsidRPr="00790EF8">
        <w:rPr>
          <w:rFonts w:asciiTheme="minorHAnsi" w:hAnsiTheme="minorHAnsi" w:cstheme="minorHAnsi"/>
        </w:rPr>
        <w:t xml:space="preserve"> and justice policies.</w:t>
      </w:r>
    </w:p>
    <w:p w14:paraId="7B083D50" w14:textId="77777777" w:rsidR="009D098A" w:rsidRPr="00790EF8" w:rsidRDefault="009D098A" w:rsidP="009D098A">
      <w:pPr>
        <w:pStyle w:val="ydpf42a50a8msolistparagraph"/>
        <w:ind w:left="1145"/>
        <w:rPr>
          <w:rFonts w:asciiTheme="minorHAnsi" w:hAnsiTheme="minorHAnsi" w:cstheme="minorHAnsi"/>
        </w:rPr>
      </w:pPr>
    </w:p>
    <w:p w14:paraId="51D75E8A" w14:textId="77777777" w:rsidR="009D098A" w:rsidRPr="00790EF8" w:rsidRDefault="00781D04" w:rsidP="009D098A">
      <w:pPr>
        <w:pStyle w:val="ydpf42a50a8msolistparagraph"/>
        <w:numPr>
          <w:ilvl w:val="0"/>
          <w:numId w:val="3"/>
        </w:numPr>
        <w:rPr>
          <w:rFonts w:asciiTheme="minorHAnsi" w:hAnsiTheme="minorHAnsi" w:cstheme="minorHAnsi"/>
        </w:rPr>
      </w:pPr>
      <w:r w:rsidRPr="00790EF8">
        <w:rPr>
          <w:rFonts w:asciiTheme="minorHAnsi" w:hAnsiTheme="minorHAnsi" w:cstheme="minorHAnsi"/>
        </w:rPr>
        <w:t xml:space="preserve">Speech and language therapy manages the risk of harm and reduces functional impact for people with speech, </w:t>
      </w:r>
      <w:proofErr w:type="gramStart"/>
      <w:r w:rsidRPr="00790EF8">
        <w:rPr>
          <w:rFonts w:asciiTheme="minorHAnsi" w:hAnsiTheme="minorHAnsi" w:cstheme="minorHAnsi"/>
        </w:rPr>
        <w:t>language</w:t>
      </w:r>
      <w:proofErr w:type="gramEnd"/>
      <w:r w:rsidRPr="00790EF8">
        <w:rPr>
          <w:rFonts w:asciiTheme="minorHAnsi" w:hAnsiTheme="minorHAnsi" w:cstheme="minorHAnsi"/>
        </w:rPr>
        <w:t xml:space="preserve"> and communication support needs and/ or swallowing difficulties.</w:t>
      </w:r>
    </w:p>
    <w:p w14:paraId="4E52A355" w14:textId="77777777" w:rsidR="009D098A" w:rsidRPr="00790EF8" w:rsidRDefault="009D098A" w:rsidP="009D098A">
      <w:pPr>
        <w:pStyle w:val="ListParagraph"/>
        <w:rPr>
          <w:rFonts w:asciiTheme="minorHAnsi" w:hAnsiTheme="minorHAnsi" w:cstheme="minorHAnsi"/>
          <w:shd w:val="clear" w:color="auto" w:fill="FFFFFF"/>
        </w:rPr>
      </w:pPr>
    </w:p>
    <w:p w14:paraId="03EA9286" w14:textId="57DF14B0" w:rsidR="009D098A" w:rsidRPr="00790EF8" w:rsidRDefault="00EB19C5" w:rsidP="009D098A">
      <w:pPr>
        <w:pStyle w:val="ydpf42a50a8msolistparagraph"/>
        <w:numPr>
          <w:ilvl w:val="0"/>
          <w:numId w:val="3"/>
        </w:numPr>
        <w:rPr>
          <w:rFonts w:asciiTheme="minorHAnsi" w:hAnsiTheme="minorHAnsi" w:cstheme="minorHAnsi"/>
        </w:rPr>
      </w:pPr>
      <w:r w:rsidRPr="00790EF8">
        <w:rPr>
          <w:rFonts w:asciiTheme="minorHAnsi" w:hAnsiTheme="minorHAnsi" w:cstheme="minorHAnsi"/>
          <w:shd w:val="clear" w:color="auto" w:fill="FFFFFF"/>
        </w:rPr>
        <w:t>SLTs</w:t>
      </w:r>
      <w:r w:rsidR="00781D04" w:rsidRPr="00790EF8">
        <w:rPr>
          <w:rFonts w:asciiTheme="minorHAnsi" w:hAnsiTheme="minorHAnsi" w:cstheme="minorHAnsi"/>
          <w:shd w:val="clear" w:color="auto" w:fill="FFFFFF"/>
        </w:rPr>
        <w:t xml:space="preserve"> have a unique role to play as members of multi-disciplinary mental health teams in identifying communication difficulties and swallowing disorders</w:t>
      </w:r>
      <w:r w:rsidR="00781D04" w:rsidRPr="00790EF8">
        <w:rPr>
          <w:rFonts w:asciiTheme="minorHAnsi" w:hAnsiTheme="minorHAnsi" w:cstheme="minorHAnsi"/>
        </w:rPr>
        <w:t>, in their support and in the management and reduction of associated harm and risk.</w:t>
      </w:r>
    </w:p>
    <w:p w14:paraId="7D936421" w14:textId="77777777" w:rsidR="009D098A" w:rsidRPr="00790EF8" w:rsidRDefault="009D098A" w:rsidP="009D098A">
      <w:pPr>
        <w:pStyle w:val="ListParagraph"/>
        <w:rPr>
          <w:rFonts w:asciiTheme="minorHAnsi" w:hAnsiTheme="minorHAnsi" w:cstheme="minorHAnsi"/>
        </w:rPr>
      </w:pPr>
    </w:p>
    <w:p w14:paraId="1A754D9C" w14:textId="77777777" w:rsidR="009D098A" w:rsidRPr="00790EF8" w:rsidRDefault="009D098A" w:rsidP="009D098A">
      <w:pPr>
        <w:pStyle w:val="ydpf42a50a8msonormal"/>
        <w:shd w:val="clear" w:color="auto" w:fill="FFFFFF"/>
        <w:textAlignment w:val="baseline"/>
        <w:rPr>
          <w:rFonts w:asciiTheme="minorHAnsi" w:hAnsiTheme="minorHAnsi" w:cstheme="minorHAnsi"/>
        </w:rPr>
      </w:pPr>
      <w:r w:rsidRPr="00790EF8">
        <w:rPr>
          <w:rFonts w:asciiTheme="minorHAnsi" w:hAnsiTheme="minorHAnsi" w:cstheme="minorHAnsi"/>
          <w:b/>
          <w:bCs/>
        </w:rPr>
        <w:t>Which groups of people are disproportionately affected by poor mental health in Wales? What factors contribute to worse mental health within these groups?</w:t>
      </w:r>
    </w:p>
    <w:p w14:paraId="212F2AD2" w14:textId="77777777" w:rsidR="009D098A" w:rsidRPr="00790EF8" w:rsidRDefault="009D098A" w:rsidP="009D098A">
      <w:pPr>
        <w:pStyle w:val="ydpf42a50a8msonormal"/>
        <w:shd w:val="clear" w:color="auto" w:fill="FFFFFF"/>
        <w:textAlignment w:val="baseline"/>
        <w:rPr>
          <w:rFonts w:asciiTheme="minorHAnsi" w:hAnsiTheme="minorHAnsi" w:cstheme="minorHAnsi"/>
        </w:rPr>
      </w:pPr>
      <w:r w:rsidRPr="00790EF8">
        <w:rPr>
          <w:rFonts w:asciiTheme="minorHAnsi" w:hAnsiTheme="minorHAnsi" w:cstheme="minorHAnsi"/>
          <w:b/>
          <w:bCs/>
        </w:rPr>
        <w:t> </w:t>
      </w:r>
    </w:p>
    <w:p w14:paraId="35BC7038" w14:textId="60AC48F4" w:rsidR="00681802" w:rsidRPr="00790EF8" w:rsidRDefault="00781D04" w:rsidP="00681802">
      <w:pPr>
        <w:pStyle w:val="ydpf42a50a8msolistparagraph"/>
        <w:numPr>
          <w:ilvl w:val="0"/>
          <w:numId w:val="3"/>
        </w:numPr>
        <w:rPr>
          <w:rFonts w:asciiTheme="minorHAnsi" w:hAnsiTheme="minorHAnsi" w:cstheme="minorHAnsi"/>
        </w:rPr>
      </w:pPr>
      <w:r w:rsidRPr="00790EF8">
        <w:rPr>
          <w:rFonts w:asciiTheme="minorHAnsi" w:hAnsiTheme="minorHAnsi" w:cstheme="minorHAnsi"/>
        </w:rPr>
        <w:t xml:space="preserve">Our members report that following the pandemic, people of all ages are presenting with more complex needs and in far greater numbers with co-occurring mental health difficulties.  Limited social interaction, changes to job roles/education, social structures and a widening digital divide have in many cases led to social isolation and reduced confidence to maintain relationships with others.  There are however </w:t>
      </w:r>
      <w:proofErr w:type="gramStart"/>
      <w:r w:rsidRPr="00790EF8">
        <w:rPr>
          <w:rFonts w:asciiTheme="minorHAnsi" w:hAnsiTheme="minorHAnsi" w:cstheme="minorHAnsi"/>
        </w:rPr>
        <w:t>a number of</w:t>
      </w:r>
      <w:proofErr w:type="gramEnd"/>
      <w:r w:rsidRPr="00790EF8">
        <w:rPr>
          <w:rFonts w:asciiTheme="minorHAnsi" w:hAnsiTheme="minorHAnsi" w:cstheme="minorHAnsi"/>
        </w:rPr>
        <w:t xml:space="preserve"> groups </w:t>
      </w:r>
      <w:r w:rsidR="00460024">
        <w:rPr>
          <w:rFonts w:asciiTheme="minorHAnsi" w:hAnsiTheme="minorHAnsi" w:cstheme="minorHAnsi"/>
        </w:rPr>
        <w:t>that</w:t>
      </w:r>
      <w:r w:rsidRPr="00790EF8">
        <w:rPr>
          <w:rFonts w:asciiTheme="minorHAnsi" w:hAnsiTheme="minorHAnsi" w:cstheme="minorHAnsi"/>
        </w:rPr>
        <w:t xml:space="preserve"> are disproportionately affected by poor mental health.  As a general point, wherever there are inequities and discrimination, there is a greater propensity towards mental ill health.  </w:t>
      </w:r>
      <w:r w:rsidRPr="00790EF8">
        <w:rPr>
          <w:rFonts w:asciiTheme="minorHAnsi" w:hAnsiTheme="minorHAnsi" w:cstheme="minorHAnsi"/>
          <w:shd w:val="clear" w:color="auto" w:fill="FFFFFF"/>
        </w:rPr>
        <w:t>Increasingly, research is evidencing the differential outcomes experienced by under-served groups:</w:t>
      </w:r>
    </w:p>
    <w:p w14:paraId="77DA1BCC" w14:textId="05694E6F" w:rsidR="00681802" w:rsidRPr="00790EF8" w:rsidRDefault="00681802" w:rsidP="00681802">
      <w:pPr>
        <w:pStyle w:val="ydpf42a50a8msolistparagraph"/>
        <w:ind w:left="1145"/>
        <w:rPr>
          <w:rFonts w:asciiTheme="minorHAnsi" w:hAnsiTheme="minorHAnsi" w:cstheme="minorHAnsi"/>
        </w:rPr>
      </w:pPr>
    </w:p>
    <w:p w14:paraId="407C404D" w14:textId="77777777" w:rsidR="00681802" w:rsidRPr="00790EF8" w:rsidRDefault="00681802" w:rsidP="00681802">
      <w:pPr>
        <w:pStyle w:val="ydpf42a50a8msonormal"/>
        <w:numPr>
          <w:ilvl w:val="0"/>
          <w:numId w:val="4"/>
        </w:numPr>
        <w:shd w:val="clear" w:color="auto" w:fill="FFFFFF"/>
        <w:textAlignment w:val="baseline"/>
        <w:rPr>
          <w:rFonts w:asciiTheme="minorHAnsi" w:eastAsia="Times New Roman" w:hAnsiTheme="minorHAnsi" w:cstheme="minorHAnsi"/>
        </w:rPr>
      </w:pPr>
      <w:r w:rsidRPr="00790EF8">
        <w:rPr>
          <w:rFonts w:asciiTheme="minorHAnsi" w:eastAsia="Times New Roman" w:hAnsiTheme="minorHAnsi" w:cstheme="minorHAnsi"/>
        </w:rPr>
        <w:t xml:space="preserve">Black and ethnic minority patients experience differential (often poorer) outcomes in healthcare, and people from ethnic minority groups are more likely to report being in poorer health than white counterparts (The King’s Fund, 2021). </w:t>
      </w:r>
    </w:p>
    <w:p w14:paraId="79BBA6E1" w14:textId="77777777" w:rsidR="00681802" w:rsidRPr="00790EF8" w:rsidRDefault="00681802" w:rsidP="00681802">
      <w:pPr>
        <w:pStyle w:val="ydpf42a50a8msonormal"/>
        <w:numPr>
          <w:ilvl w:val="0"/>
          <w:numId w:val="1"/>
        </w:numPr>
        <w:shd w:val="clear" w:color="auto" w:fill="FFFFFF"/>
        <w:spacing w:after="300" w:afterAutospacing="0"/>
        <w:rPr>
          <w:rFonts w:asciiTheme="minorHAnsi" w:eastAsia="Times New Roman" w:hAnsiTheme="minorHAnsi" w:cstheme="minorHAnsi"/>
        </w:rPr>
      </w:pPr>
      <w:r w:rsidRPr="00790EF8">
        <w:rPr>
          <w:rFonts w:asciiTheme="minorHAnsi" w:eastAsia="Times New Roman" w:hAnsiTheme="minorHAnsi" w:cstheme="minorHAnsi"/>
        </w:rPr>
        <w:t xml:space="preserve">People who are LGBTQ+ are more likely to experience health inequalities, caused by societal norms that prioritise heterosexuality as well as outright discrimination and stigma (Zeeman et al, 2018). </w:t>
      </w:r>
    </w:p>
    <w:p w14:paraId="2EFE0EEF" w14:textId="6F4ABD01" w:rsidR="00681802" w:rsidRPr="00790EF8" w:rsidRDefault="00681802" w:rsidP="00681802">
      <w:pPr>
        <w:pStyle w:val="ydpf42a50a8msonormal"/>
        <w:numPr>
          <w:ilvl w:val="0"/>
          <w:numId w:val="1"/>
        </w:numPr>
        <w:shd w:val="clear" w:color="auto" w:fill="FFFFFF"/>
        <w:spacing w:after="300" w:afterAutospacing="0"/>
        <w:rPr>
          <w:rFonts w:asciiTheme="minorHAnsi" w:eastAsia="Times New Roman" w:hAnsiTheme="minorHAnsi" w:cstheme="minorHAnsi"/>
        </w:rPr>
      </w:pPr>
      <w:r w:rsidRPr="00790EF8">
        <w:rPr>
          <w:rFonts w:asciiTheme="minorHAnsi" w:eastAsia="Times New Roman" w:hAnsiTheme="minorHAnsi" w:cstheme="minorHAnsi"/>
        </w:rPr>
        <w:t>Those living in socio-economically disadvantaged areas may be more likely than those living in affluent areas to experience multiple health problems in adulthood (multi-morbidity) though the causal factors require examination (</w:t>
      </w:r>
      <w:proofErr w:type="spellStart"/>
      <w:r w:rsidRPr="00790EF8">
        <w:rPr>
          <w:rFonts w:asciiTheme="minorHAnsi" w:eastAsia="Times New Roman" w:hAnsiTheme="minorHAnsi" w:cstheme="minorHAnsi"/>
        </w:rPr>
        <w:t>Olutende</w:t>
      </w:r>
      <w:proofErr w:type="spellEnd"/>
      <w:r w:rsidR="00830124">
        <w:rPr>
          <w:rFonts w:asciiTheme="minorHAnsi" w:eastAsia="Times New Roman" w:hAnsiTheme="minorHAnsi" w:cstheme="minorHAnsi"/>
        </w:rPr>
        <w:t xml:space="preserve"> et al, </w:t>
      </w:r>
      <w:r w:rsidRPr="00790EF8">
        <w:rPr>
          <w:rFonts w:asciiTheme="minorHAnsi" w:eastAsia="Times New Roman" w:hAnsiTheme="minorHAnsi" w:cstheme="minorHAnsi"/>
        </w:rPr>
        <w:t xml:space="preserve">2021). </w:t>
      </w:r>
    </w:p>
    <w:p w14:paraId="695A18F4" w14:textId="77777777" w:rsidR="00681802" w:rsidRPr="00790EF8" w:rsidRDefault="00681802" w:rsidP="00681802">
      <w:pPr>
        <w:pStyle w:val="ydpf42a50a8msolistparagraph"/>
        <w:ind w:left="1145"/>
        <w:rPr>
          <w:rFonts w:asciiTheme="minorHAnsi" w:hAnsiTheme="minorHAnsi" w:cstheme="minorHAnsi"/>
        </w:rPr>
      </w:pPr>
    </w:p>
    <w:p w14:paraId="27ECD04D" w14:textId="43EC8214" w:rsidR="00681802" w:rsidRPr="00790EF8" w:rsidRDefault="00781D04" w:rsidP="00681802">
      <w:pPr>
        <w:pStyle w:val="ydpf42a50a8msolistparagraph"/>
        <w:numPr>
          <w:ilvl w:val="0"/>
          <w:numId w:val="3"/>
        </w:numPr>
        <w:rPr>
          <w:rFonts w:asciiTheme="minorHAnsi" w:hAnsiTheme="minorHAnsi" w:cstheme="minorHAnsi"/>
        </w:rPr>
      </w:pPr>
      <w:r w:rsidRPr="00790EF8">
        <w:rPr>
          <w:rFonts w:asciiTheme="minorHAnsi" w:hAnsiTheme="minorHAnsi" w:cstheme="minorHAnsi"/>
        </w:rPr>
        <w:t xml:space="preserve">The joint responses we have endorsed from </w:t>
      </w:r>
      <w:r w:rsidR="00FC6C9A" w:rsidRPr="00790EF8">
        <w:rPr>
          <w:rFonts w:asciiTheme="minorHAnsi" w:hAnsiTheme="minorHAnsi" w:cstheme="minorHAnsi"/>
        </w:rPr>
        <w:t xml:space="preserve">the </w:t>
      </w:r>
      <w:proofErr w:type="gramStart"/>
      <w:r w:rsidR="00FC6C9A" w:rsidRPr="00790EF8">
        <w:rPr>
          <w:rFonts w:asciiTheme="minorHAnsi" w:hAnsiTheme="minorHAnsi" w:cstheme="minorHAnsi"/>
        </w:rPr>
        <w:t>RCMHE</w:t>
      </w:r>
      <w:r w:rsidR="00EB19C5" w:rsidRPr="00790EF8">
        <w:rPr>
          <w:rFonts w:asciiTheme="minorHAnsi" w:hAnsiTheme="minorHAnsi" w:cstheme="minorHAnsi"/>
        </w:rPr>
        <w:t>A</w:t>
      </w:r>
      <w:r w:rsidR="00FC6C9A" w:rsidRPr="00790EF8">
        <w:rPr>
          <w:rFonts w:asciiTheme="minorHAnsi" w:hAnsiTheme="minorHAnsi" w:cstheme="minorHAnsi"/>
        </w:rPr>
        <w:t>G</w:t>
      </w:r>
      <w:proofErr w:type="gramEnd"/>
      <w:r w:rsidR="00FC6C9A" w:rsidRPr="00790EF8">
        <w:rPr>
          <w:rFonts w:asciiTheme="minorHAnsi" w:hAnsiTheme="minorHAnsi" w:cstheme="minorHAnsi"/>
        </w:rPr>
        <w:t xml:space="preserve"> </w:t>
      </w:r>
      <w:r w:rsidRPr="00790EF8">
        <w:rPr>
          <w:rFonts w:asciiTheme="minorHAnsi" w:hAnsiTheme="minorHAnsi" w:cstheme="minorHAnsi"/>
        </w:rPr>
        <w:t>and </w:t>
      </w:r>
      <w:r w:rsidR="00681802" w:rsidRPr="00790EF8">
        <w:rPr>
          <w:rFonts w:asciiTheme="minorHAnsi" w:hAnsiTheme="minorHAnsi" w:cstheme="minorHAnsi"/>
        </w:rPr>
        <w:t>the </w:t>
      </w:r>
      <w:r w:rsidR="00681802" w:rsidRPr="00790EF8">
        <w:rPr>
          <w:rFonts w:asciiTheme="minorHAnsi" w:eastAsia="Montserrat" w:hAnsiTheme="minorHAnsi" w:cstheme="minorHAnsi"/>
          <w:lang w:eastAsia="en-US"/>
        </w:rPr>
        <w:t>Welsh NHS Confederation Health and Wellbeing Alliance’s Mental Health Subgroup</w:t>
      </w:r>
      <w:r w:rsidRPr="00790EF8">
        <w:rPr>
          <w:rFonts w:asciiTheme="minorHAnsi" w:hAnsiTheme="minorHAnsi" w:cstheme="minorHAnsi"/>
        </w:rPr>
        <w:t xml:space="preserve"> provide greater detail on the evidence available on the range of groups disproportionally affected and factors contributing to worse mental health. </w:t>
      </w:r>
      <w:r w:rsidR="00681802" w:rsidRPr="00790EF8">
        <w:rPr>
          <w:rFonts w:asciiTheme="minorHAnsi" w:hAnsiTheme="minorHAnsi" w:cstheme="minorHAnsi"/>
        </w:rPr>
        <w:t xml:space="preserve"> </w:t>
      </w:r>
      <w:r w:rsidRPr="00790EF8">
        <w:rPr>
          <w:rFonts w:asciiTheme="minorHAnsi" w:hAnsiTheme="minorHAnsi" w:cstheme="minorHAnsi"/>
        </w:rPr>
        <w:t xml:space="preserve">In our response, we focus specifically on a </w:t>
      </w:r>
      <w:proofErr w:type="gramStart"/>
      <w:r w:rsidRPr="00790EF8">
        <w:rPr>
          <w:rFonts w:asciiTheme="minorHAnsi" w:hAnsiTheme="minorHAnsi" w:cstheme="minorHAnsi"/>
        </w:rPr>
        <w:lastRenderedPageBreak/>
        <w:t>particular group</w:t>
      </w:r>
      <w:proofErr w:type="gramEnd"/>
      <w:r w:rsidRPr="00790EF8">
        <w:rPr>
          <w:rFonts w:asciiTheme="minorHAnsi" w:hAnsiTheme="minorHAnsi" w:cstheme="minorHAnsi"/>
        </w:rPr>
        <w:t xml:space="preserve"> namely people with communication and swallowing difficulties who currently are both more likely to be affected by poor mental health and less well served by services. </w:t>
      </w:r>
    </w:p>
    <w:p w14:paraId="6F0E51AF" w14:textId="1360868F" w:rsidR="00681802" w:rsidRPr="00790EF8" w:rsidRDefault="00681802" w:rsidP="00681802">
      <w:pPr>
        <w:pStyle w:val="ydpf42a50a8msolistparagraph"/>
        <w:ind w:left="1145"/>
        <w:rPr>
          <w:rFonts w:asciiTheme="minorHAnsi" w:hAnsiTheme="minorHAnsi" w:cstheme="minorHAnsi"/>
        </w:rPr>
      </w:pPr>
    </w:p>
    <w:p w14:paraId="7F0E6D00" w14:textId="77777777" w:rsidR="00681802" w:rsidRPr="00790EF8" w:rsidRDefault="00681802" w:rsidP="00681802">
      <w:pPr>
        <w:pStyle w:val="ydpf42a50a8msonormal"/>
        <w:shd w:val="clear" w:color="auto" w:fill="FFFFFF"/>
        <w:spacing w:before="0" w:beforeAutospacing="0" w:after="0" w:afterAutospacing="0"/>
        <w:textAlignment w:val="baseline"/>
        <w:rPr>
          <w:rFonts w:asciiTheme="minorHAnsi" w:hAnsiTheme="minorHAnsi" w:cstheme="minorHAnsi"/>
          <w:i/>
          <w:iCs/>
        </w:rPr>
      </w:pPr>
      <w:bookmarkStart w:id="0" w:name="_Hlk96069570"/>
      <w:r w:rsidRPr="00790EF8">
        <w:rPr>
          <w:rFonts w:asciiTheme="minorHAnsi" w:hAnsiTheme="minorHAnsi" w:cstheme="minorHAnsi"/>
          <w:i/>
          <w:iCs/>
        </w:rPr>
        <w:t>People with communication and swallowing difficulties</w:t>
      </w:r>
    </w:p>
    <w:p w14:paraId="6778A830" w14:textId="77777777" w:rsidR="00681802" w:rsidRPr="00790EF8" w:rsidRDefault="00681802" w:rsidP="00681802">
      <w:pPr>
        <w:pStyle w:val="ydpf42a50a8msonormal"/>
        <w:shd w:val="clear" w:color="auto" w:fill="FFFFFF"/>
        <w:spacing w:before="0" w:beforeAutospacing="0" w:after="300" w:afterAutospacing="0"/>
        <w:ind w:left="720"/>
        <w:rPr>
          <w:rFonts w:asciiTheme="minorHAnsi" w:hAnsiTheme="minorHAnsi" w:cstheme="minorHAnsi"/>
          <w:i/>
          <w:iCs/>
        </w:rPr>
      </w:pPr>
      <w:r w:rsidRPr="00790EF8">
        <w:rPr>
          <w:rFonts w:asciiTheme="minorHAnsi" w:hAnsiTheme="minorHAnsi" w:cstheme="minorHAnsi"/>
          <w:i/>
          <w:iCs/>
        </w:rPr>
        <w:t> </w:t>
      </w:r>
    </w:p>
    <w:bookmarkEnd w:id="0"/>
    <w:p w14:paraId="0E2CE448" w14:textId="2451F24E" w:rsidR="00834896" w:rsidRPr="00790EF8" w:rsidRDefault="00781D04" w:rsidP="00834896">
      <w:pPr>
        <w:pStyle w:val="ydpf42a50a8msolistparagraph"/>
        <w:numPr>
          <w:ilvl w:val="0"/>
          <w:numId w:val="3"/>
        </w:numPr>
        <w:rPr>
          <w:rFonts w:asciiTheme="minorHAnsi" w:hAnsiTheme="minorHAnsi" w:cstheme="minorHAnsi"/>
        </w:rPr>
      </w:pPr>
      <w:r w:rsidRPr="00790EF8">
        <w:rPr>
          <w:rFonts w:asciiTheme="minorHAnsi" w:hAnsiTheme="minorHAnsi" w:cstheme="minorHAnsi"/>
        </w:rPr>
        <w:t>People with a primary communication difficulty of all ages are at a greater risk of experiencing mental health problems than their peers (</w:t>
      </w:r>
      <w:proofErr w:type="spellStart"/>
      <w:r w:rsidRPr="00790EF8">
        <w:rPr>
          <w:rFonts w:asciiTheme="minorHAnsi" w:hAnsiTheme="minorHAnsi" w:cstheme="minorHAnsi"/>
        </w:rPr>
        <w:t>Beitchman</w:t>
      </w:r>
      <w:proofErr w:type="spellEnd"/>
      <w:r w:rsidRPr="00790EF8">
        <w:rPr>
          <w:rFonts w:asciiTheme="minorHAnsi" w:hAnsiTheme="minorHAnsi" w:cstheme="minorHAnsi"/>
        </w:rPr>
        <w:t xml:space="preserve"> et al, 2001; Botting et al, 2016).  Communication difficulties are a risk factor for poorer mental health across the life course.  Communication impairment and swallowing needs may be intrinsic to some mental health difficulties such as schizophrenia or psychosis (Colle et al, 2013; Boudewyn et al, 2017).  Furthermore, speech, language and communication needs and swallowing problems can occur due to the side effects of medication used to treat mental illness (Gabbert et al, 2002).  </w:t>
      </w:r>
      <w:r w:rsidRPr="00790EF8">
        <w:rPr>
          <w:rFonts w:asciiTheme="minorHAnsi" w:hAnsiTheme="minorHAnsi" w:cstheme="minorHAnsi"/>
          <w:lang w:val="en-US"/>
        </w:rPr>
        <w:t xml:space="preserve">There is a growing research body showing the important links between mental health and communication and swallowing difficulties.  This is </w:t>
      </w:r>
      <w:proofErr w:type="spellStart"/>
      <w:r w:rsidRPr="00790EF8">
        <w:rPr>
          <w:rFonts w:asciiTheme="minorHAnsi" w:hAnsiTheme="minorHAnsi" w:cstheme="minorHAnsi"/>
          <w:lang w:val="en-US"/>
        </w:rPr>
        <w:t>summari</w:t>
      </w:r>
      <w:r w:rsidR="00681802" w:rsidRPr="00790EF8">
        <w:rPr>
          <w:rFonts w:asciiTheme="minorHAnsi" w:hAnsiTheme="minorHAnsi" w:cstheme="minorHAnsi"/>
          <w:lang w:val="en-US"/>
        </w:rPr>
        <w:t>s</w:t>
      </w:r>
      <w:r w:rsidRPr="00790EF8">
        <w:rPr>
          <w:rFonts w:asciiTheme="minorHAnsi" w:hAnsiTheme="minorHAnsi" w:cstheme="minorHAnsi"/>
          <w:lang w:val="en-US"/>
        </w:rPr>
        <w:t>ed</w:t>
      </w:r>
      <w:proofErr w:type="spellEnd"/>
      <w:r w:rsidRPr="00790EF8">
        <w:rPr>
          <w:rFonts w:asciiTheme="minorHAnsi" w:hAnsiTheme="minorHAnsi" w:cstheme="minorHAnsi"/>
          <w:lang w:val="en-US"/>
        </w:rPr>
        <w:t xml:space="preserve"> in the box below.  </w:t>
      </w:r>
    </w:p>
    <w:p w14:paraId="431A179F" w14:textId="4B4B6DA5" w:rsidR="00834896" w:rsidRPr="00790EF8" w:rsidRDefault="00834896">
      <w:pPr>
        <w:spacing w:after="160" w:line="259" w:lineRule="auto"/>
        <w:rPr>
          <w:rFonts w:asciiTheme="minorHAnsi" w:hAnsiTheme="minorHAnsi" w:cstheme="minorHAnsi"/>
          <w:b/>
          <w:bCs/>
          <w:i/>
          <w:iCs/>
          <w:lang w:val="en-US"/>
        </w:rPr>
      </w:pPr>
      <w:r w:rsidRPr="00790EF8">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39485641" wp14:editId="2721E03E">
                <wp:simplePos x="0" y="0"/>
                <wp:positionH relativeFrom="column">
                  <wp:posOffset>0</wp:posOffset>
                </wp:positionH>
                <wp:positionV relativeFrom="paragraph">
                  <wp:posOffset>331470</wp:posOffset>
                </wp:positionV>
                <wp:extent cx="5457825" cy="1404620"/>
                <wp:effectExtent l="0" t="0" r="285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404620"/>
                        </a:xfrm>
                        <a:prstGeom prst="rect">
                          <a:avLst/>
                        </a:prstGeom>
                        <a:solidFill>
                          <a:srgbClr val="FFFFFF"/>
                        </a:solidFill>
                        <a:ln w="9525">
                          <a:solidFill>
                            <a:srgbClr val="000000"/>
                          </a:solidFill>
                          <a:miter lim="800000"/>
                          <a:headEnd/>
                          <a:tailEnd/>
                        </a:ln>
                      </wps:spPr>
                      <wps:txbx>
                        <w:txbxContent>
                          <w:p w14:paraId="01812628" w14:textId="77777777" w:rsidR="00834896" w:rsidRPr="009D098A" w:rsidRDefault="00834896" w:rsidP="00834896">
                            <w:pPr>
                              <w:pStyle w:val="ydpf42a50a8msonormal"/>
                              <w:spacing w:before="0" w:beforeAutospacing="0" w:after="255" w:afterAutospacing="0"/>
                              <w:rPr>
                                <w:rFonts w:asciiTheme="minorHAnsi" w:hAnsiTheme="minorHAnsi" w:cstheme="minorHAnsi"/>
                              </w:rPr>
                            </w:pPr>
                            <w:r w:rsidRPr="009D098A">
                              <w:rPr>
                                <w:rFonts w:asciiTheme="minorHAnsi" w:hAnsiTheme="minorHAnsi" w:cstheme="minorHAnsi"/>
                                <w:b/>
                                <w:bCs/>
                                <w:i/>
                                <w:iCs/>
                                <w:lang w:val="en-US"/>
                              </w:rPr>
                              <w:t>Communication - adults</w:t>
                            </w:r>
                          </w:p>
                          <w:p w14:paraId="52A1839A" w14:textId="77777777" w:rsidR="00834896" w:rsidRPr="009D098A" w:rsidRDefault="00834896" w:rsidP="00834896">
                            <w:pPr>
                              <w:pStyle w:val="ydpf42a50a8msolistparagraph"/>
                              <w:numPr>
                                <w:ilvl w:val="0"/>
                                <w:numId w:val="4"/>
                              </w:numPr>
                              <w:rPr>
                                <w:rFonts w:asciiTheme="minorHAnsi" w:hAnsiTheme="minorHAnsi" w:cstheme="minorHAnsi"/>
                              </w:rPr>
                            </w:pPr>
                            <w:r w:rsidRPr="009D098A">
                              <w:rPr>
                                <w:rFonts w:asciiTheme="minorHAnsi" w:hAnsiTheme="minorHAnsi" w:cstheme="minorHAnsi"/>
                                <w:lang w:val="en-US"/>
                              </w:rPr>
                              <w:t>80% of adults with mental health disorders have impairment in language (Walsh et al, 2007).</w:t>
                            </w:r>
                          </w:p>
                          <w:p w14:paraId="19429832" w14:textId="77777777" w:rsidR="00834896" w:rsidRPr="009D098A" w:rsidRDefault="00834896" w:rsidP="00834896">
                            <w:pPr>
                              <w:pStyle w:val="ydpf42a50a8msolistparagraph"/>
                              <w:numPr>
                                <w:ilvl w:val="0"/>
                                <w:numId w:val="4"/>
                              </w:numPr>
                              <w:rPr>
                                <w:rFonts w:asciiTheme="minorHAnsi" w:hAnsiTheme="minorHAnsi" w:cstheme="minorHAnsi"/>
                              </w:rPr>
                            </w:pPr>
                            <w:r w:rsidRPr="009D098A">
                              <w:rPr>
                                <w:rFonts w:asciiTheme="minorHAnsi" w:hAnsiTheme="minorHAnsi" w:cstheme="minorHAnsi"/>
                                <w:lang w:val="en-US"/>
                              </w:rPr>
                              <w:t>Over 60% have impairment in communication and discourse (Walsh et al, 2007).</w:t>
                            </w:r>
                          </w:p>
                          <w:p w14:paraId="2AD56EA9" w14:textId="77777777" w:rsidR="00834896" w:rsidRPr="009D098A" w:rsidRDefault="00834896" w:rsidP="00834896">
                            <w:pPr>
                              <w:pStyle w:val="ydpf42a50a8msonormal"/>
                              <w:spacing w:before="0" w:beforeAutospacing="0" w:after="0" w:afterAutospacing="0"/>
                              <w:rPr>
                                <w:rFonts w:asciiTheme="minorHAnsi" w:hAnsiTheme="minorHAnsi" w:cstheme="minorHAnsi"/>
                              </w:rPr>
                            </w:pPr>
                            <w:r w:rsidRPr="009D098A">
                              <w:rPr>
                                <w:rFonts w:asciiTheme="minorHAnsi" w:hAnsiTheme="minorHAnsi" w:cstheme="minorHAnsi"/>
                                <w:lang w:val="en-US"/>
                              </w:rPr>
                              <w:t> </w:t>
                            </w:r>
                          </w:p>
                          <w:p w14:paraId="59032195" w14:textId="77777777" w:rsidR="00834896" w:rsidRPr="009D098A" w:rsidRDefault="00834896" w:rsidP="00834896">
                            <w:pPr>
                              <w:pStyle w:val="ydpf42a50a8msonormal"/>
                              <w:spacing w:before="0" w:beforeAutospacing="0" w:after="255" w:afterAutospacing="0"/>
                              <w:rPr>
                                <w:rFonts w:asciiTheme="minorHAnsi" w:hAnsiTheme="minorHAnsi" w:cstheme="minorHAnsi"/>
                              </w:rPr>
                            </w:pPr>
                            <w:r w:rsidRPr="009D098A">
                              <w:rPr>
                                <w:rFonts w:asciiTheme="minorHAnsi" w:hAnsiTheme="minorHAnsi" w:cstheme="minorHAnsi"/>
                                <w:b/>
                                <w:bCs/>
                                <w:i/>
                                <w:iCs/>
                                <w:lang w:val="en-US"/>
                              </w:rPr>
                              <w:t>Communication – children and young people</w:t>
                            </w:r>
                          </w:p>
                          <w:p w14:paraId="682C4950" w14:textId="7780AAF7" w:rsidR="00834896" w:rsidRPr="009D098A" w:rsidRDefault="00834896" w:rsidP="00834896">
                            <w:pPr>
                              <w:pStyle w:val="ydpf42a50a8msolistparagraph"/>
                              <w:numPr>
                                <w:ilvl w:val="0"/>
                                <w:numId w:val="10"/>
                              </w:numPr>
                              <w:rPr>
                                <w:rFonts w:asciiTheme="minorHAnsi" w:hAnsiTheme="minorHAnsi" w:cstheme="minorHAnsi"/>
                              </w:rPr>
                            </w:pPr>
                            <w:r w:rsidRPr="009D098A">
                              <w:rPr>
                                <w:rFonts w:asciiTheme="minorHAnsi" w:hAnsiTheme="minorHAnsi" w:cstheme="minorHAnsi"/>
                              </w:rPr>
                              <w:t>Children with a mental health disorder are five times more likely to have problems with speech and language (NHS Digital, 2018).</w:t>
                            </w:r>
                          </w:p>
                          <w:p w14:paraId="06056964" w14:textId="6D001020" w:rsidR="00834896" w:rsidRPr="00B53169" w:rsidRDefault="00834896" w:rsidP="00834896">
                            <w:pPr>
                              <w:pStyle w:val="ydpf42a50a8msolistparagraph"/>
                              <w:numPr>
                                <w:ilvl w:val="0"/>
                                <w:numId w:val="10"/>
                              </w:numPr>
                              <w:rPr>
                                <w:rFonts w:asciiTheme="minorHAnsi" w:hAnsiTheme="minorHAnsi" w:cstheme="minorHAnsi"/>
                              </w:rPr>
                            </w:pPr>
                            <w:r w:rsidRPr="009D098A">
                              <w:rPr>
                                <w:rFonts w:asciiTheme="minorHAnsi" w:hAnsiTheme="minorHAnsi" w:cstheme="minorHAnsi"/>
                              </w:rPr>
                              <w:t xml:space="preserve">81% of children with social, </w:t>
                            </w:r>
                            <w:proofErr w:type="gramStart"/>
                            <w:r w:rsidRPr="009D098A">
                              <w:rPr>
                                <w:rFonts w:asciiTheme="minorHAnsi" w:hAnsiTheme="minorHAnsi" w:cstheme="minorHAnsi"/>
                              </w:rPr>
                              <w:t>emotional</w:t>
                            </w:r>
                            <w:proofErr w:type="gramEnd"/>
                            <w:r w:rsidRPr="009D098A">
                              <w:rPr>
                                <w:rFonts w:asciiTheme="minorHAnsi" w:hAnsiTheme="minorHAnsi" w:cstheme="minorHAnsi"/>
                              </w:rPr>
                              <w:t xml:space="preserve"> and mental health needs have significant unidentified language deficits (Hollo et al, 2014).</w:t>
                            </w:r>
                            <w:r w:rsidR="00222C36">
                              <w:rPr>
                                <w:rFonts w:asciiTheme="minorHAnsi" w:hAnsiTheme="minorHAnsi" w:cstheme="minorHAnsi"/>
                              </w:rPr>
                              <w:t xml:space="preserve"> A</w:t>
                            </w:r>
                            <w:r w:rsidRPr="00B53169">
                              <w:rPr>
                                <w:rFonts w:asciiTheme="minorHAnsi" w:hAnsiTheme="minorHAnsi" w:cstheme="minorHAnsi"/>
                              </w:rPr>
                              <w:t>dolescents and young adults with developmental language disorder (DLD) are more likely to experience anxiety and depression than their peers (Botting et al, 2016).</w:t>
                            </w:r>
                          </w:p>
                          <w:p w14:paraId="18A8E750" w14:textId="77777777" w:rsidR="00834896" w:rsidRPr="009D098A" w:rsidRDefault="00834896" w:rsidP="00834896">
                            <w:pPr>
                              <w:pStyle w:val="ydpf42a50a8msolistparagraph"/>
                              <w:ind w:left="360"/>
                              <w:rPr>
                                <w:rFonts w:asciiTheme="minorHAnsi" w:hAnsiTheme="minorHAnsi" w:cstheme="minorHAnsi"/>
                              </w:rPr>
                            </w:pPr>
                            <w:r w:rsidRPr="009D098A">
                              <w:rPr>
                                <w:rFonts w:asciiTheme="minorHAnsi" w:hAnsiTheme="minorHAnsi" w:cstheme="minorHAnsi"/>
                              </w:rPr>
                              <w:t> </w:t>
                            </w:r>
                          </w:p>
                          <w:p w14:paraId="22BEB491" w14:textId="77777777" w:rsidR="00834896" w:rsidRPr="009D098A" w:rsidRDefault="00834896" w:rsidP="00834896">
                            <w:pPr>
                              <w:pStyle w:val="ydpf42a50a8msonormal"/>
                              <w:spacing w:before="0" w:beforeAutospacing="0" w:after="0" w:afterAutospacing="0"/>
                              <w:rPr>
                                <w:rFonts w:asciiTheme="minorHAnsi" w:hAnsiTheme="minorHAnsi" w:cstheme="minorHAnsi"/>
                              </w:rPr>
                            </w:pPr>
                            <w:r w:rsidRPr="009D098A">
                              <w:rPr>
                                <w:rFonts w:asciiTheme="minorHAnsi" w:hAnsiTheme="minorHAnsi" w:cstheme="minorHAnsi"/>
                                <w:b/>
                                <w:bCs/>
                                <w:i/>
                                <w:iCs/>
                                <w:lang w:val="en-US"/>
                              </w:rPr>
                              <w:t>Swallowing – adults</w:t>
                            </w:r>
                          </w:p>
                          <w:p w14:paraId="0921E39D" w14:textId="77777777" w:rsidR="00834896" w:rsidRPr="009D098A" w:rsidRDefault="00834896" w:rsidP="00834896">
                            <w:pPr>
                              <w:pStyle w:val="ydpf42a50a8msolistparagraph"/>
                              <w:numPr>
                                <w:ilvl w:val="0"/>
                                <w:numId w:val="11"/>
                              </w:numPr>
                              <w:rPr>
                                <w:rFonts w:asciiTheme="minorHAnsi" w:hAnsiTheme="minorHAnsi" w:cstheme="minorHAnsi"/>
                              </w:rPr>
                            </w:pPr>
                            <w:r w:rsidRPr="009D098A">
                              <w:rPr>
                                <w:rFonts w:asciiTheme="minorHAnsi" w:hAnsiTheme="minorHAnsi" w:cstheme="minorHAnsi"/>
                                <w:lang w:val="en-US"/>
                              </w:rPr>
                              <w:t>Over 30% of adults with mental health disorders have some impairment in swallowing (Walsh et al, 2007).</w:t>
                            </w:r>
                          </w:p>
                          <w:p w14:paraId="7425B5B4" w14:textId="77777777" w:rsidR="00834896" w:rsidRPr="009D098A" w:rsidRDefault="00834896" w:rsidP="00834896">
                            <w:pPr>
                              <w:pStyle w:val="ydpf42a50a8msolistparagraph"/>
                              <w:numPr>
                                <w:ilvl w:val="0"/>
                                <w:numId w:val="11"/>
                              </w:numPr>
                              <w:ind w:right="75"/>
                              <w:rPr>
                                <w:rFonts w:asciiTheme="minorHAnsi" w:hAnsiTheme="minorHAnsi" w:cstheme="minorHAnsi"/>
                              </w:rPr>
                            </w:pPr>
                            <w:r w:rsidRPr="009D098A">
                              <w:rPr>
                                <w:rFonts w:asciiTheme="minorHAnsi" w:hAnsiTheme="minorHAnsi" w:cstheme="minorHAnsi"/>
                              </w:rPr>
                              <w:t>There is a greater prevalence of dysphagia (swallowing difficulties) in acute and community mental health settings compared to the general population - 35% in an inpatient unit and 27% in those attending day hospital, which compares to 6% in the general population (Regan et al, 2006).</w:t>
                            </w:r>
                          </w:p>
                          <w:p w14:paraId="65B8B904" w14:textId="77777777" w:rsidR="00834896" w:rsidRDefault="00834896" w:rsidP="00834896">
                            <w:r w:rsidRPr="009D098A">
                              <w:rPr>
                                <w:rFonts w:asciiTheme="minorHAnsi" w:hAnsiTheme="minorHAnsi" w:cstheme="minorHAnsi"/>
                                <w:lang w:val="en-US"/>
                              </w:rPr>
                              <w: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485641" id="_x0000_t202" coordsize="21600,21600" o:spt="202" path="m,l,21600r21600,l21600,xe">
                <v:stroke joinstyle="miter"/>
                <v:path gradientshapeok="t" o:connecttype="rect"/>
              </v:shapetype>
              <v:shape id="Text Box 2" o:spid="_x0000_s1026" type="#_x0000_t202" style="position:absolute;margin-left:0;margin-top:26.1pt;width:429.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">
                <v:textbox style="mso-fit-shape-to-text:t">
                  <w:txbxContent>
                    <w:p w14:paraId="01812628" w14:textId="77777777" w:rsidR="00834896" w:rsidRPr="009D098A" w:rsidRDefault="00834896" w:rsidP="00834896">
                      <w:pPr>
                        <w:pStyle w:val="ydpf42a50a8msonormal"/>
                        <w:spacing w:before="0" w:beforeAutospacing="0" w:after="255" w:afterAutospacing="0"/>
                        <w:rPr>
                          <w:rFonts w:asciiTheme="minorHAnsi" w:hAnsiTheme="minorHAnsi" w:cstheme="minorHAnsi"/>
                        </w:rPr>
                      </w:pPr>
                      <w:r w:rsidRPr="009D098A">
                        <w:rPr>
                          <w:rFonts w:asciiTheme="minorHAnsi" w:hAnsiTheme="minorHAnsi" w:cstheme="minorHAnsi"/>
                          <w:b/>
                          <w:bCs/>
                          <w:i/>
                          <w:iCs/>
                          <w:lang w:val="en-US"/>
                        </w:rPr>
                        <w:t>Communication - adults</w:t>
                      </w:r>
                    </w:p>
                    <w:p w14:paraId="52A1839A" w14:textId="77777777" w:rsidR="00834896" w:rsidRPr="009D098A" w:rsidRDefault="00834896" w:rsidP="00834896">
                      <w:pPr>
                        <w:pStyle w:val="ydpf42a50a8msolistparagraph"/>
                        <w:numPr>
                          <w:ilvl w:val="0"/>
                          <w:numId w:val="4"/>
                        </w:numPr>
                        <w:rPr>
                          <w:rFonts w:asciiTheme="minorHAnsi" w:hAnsiTheme="minorHAnsi" w:cstheme="minorHAnsi"/>
                        </w:rPr>
                      </w:pPr>
                      <w:r w:rsidRPr="009D098A">
                        <w:rPr>
                          <w:rFonts w:asciiTheme="minorHAnsi" w:hAnsiTheme="minorHAnsi" w:cstheme="minorHAnsi"/>
                          <w:lang w:val="en-US"/>
                        </w:rPr>
                        <w:t>80% of adults with mental health disorders have impairment in language (Walsh et al, 2007).</w:t>
                      </w:r>
                    </w:p>
                    <w:p w14:paraId="19429832" w14:textId="77777777" w:rsidR="00834896" w:rsidRPr="009D098A" w:rsidRDefault="00834896" w:rsidP="00834896">
                      <w:pPr>
                        <w:pStyle w:val="ydpf42a50a8msolistparagraph"/>
                        <w:numPr>
                          <w:ilvl w:val="0"/>
                          <w:numId w:val="4"/>
                        </w:numPr>
                        <w:rPr>
                          <w:rFonts w:asciiTheme="minorHAnsi" w:hAnsiTheme="minorHAnsi" w:cstheme="minorHAnsi"/>
                        </w:rPr>
                      </w:pPr>
                      <w:r w:rsidRPr="009D098A">
                        <w:rPr>
                          <w:rFonts w:asciiTheme="minorHAnsi" w:hAnsiTheme="minorHAnsi" w:cstheme="minorHAnsi"/>
                          <w:lang w:val="en-US"/>
                        </w:rPr>
                        <w:t>Over 60% have impairment in communication and discourse (Walsh et al, 2007).</w:t>
                      </w:r>
                    </w:p>
                    <w:p w14:paraId="2AD56EA9" w14:textId="77777777" w:rsidR="00834896" w:rsidRPr="009D098A" w:rsidRDefault="00834896" w:rsidP="00834896">
                      <w:pPr>
                        <w:pStyle w:val="ydpf42a50a8msonormal"/>
                        <w:spacing w:before="0" w:beforeAutospacing="0" w:after="0" w:afterAutospacing="0"/>
                        <w:rPr>
                          <w:rFonts w:asciiTheme="minorHAnsi" w:hAnsiTheme="minorHAnsi" w:cstheme="minorHAnsi"/>
                        </w:rPr>
                      </w:pPr>
                      <w:r w:rsidRPr="009D098A">
                        <w:rPr>
                          <w:rFonts w:asciiTheme="minorHAnsi" w:hAnsiTheme="minorHAnsi" w:cstheme="minorHAnsi"/>
                          <w:lang w:val="en-US"/>
                        </w:rPr>
                        <w:t> </w:t>
                      </w:r>
                    </w:p>
                    <w:p w14:paraId="59032195" w14:textId="77777777" w:rsidR="00834896" w:rsidRPr="009D098A" w:rsidRDefault="00834896" w:rsidP="00834896">
                      <w:pPr>
                        <w:pStyle w:val="ydpf42a50a8msonormal"/>
                        <w:spacing w:before="0" w:beforeAutospacing="0" w:after="255" w:afterAutospacing="0"/>
                        <w:rPr>
                          <w:rFonts w:asciiTheme="minorHAnsi" w:hAnsiTheme="minorHAnsi" w:cstheme="minorHAnsi"/>
                        </w:rPr>
                      </w:pPr>
                      <w:r w:rsidRPr="009D098A">
                        <w:rPr>
                          <w:rFonts w:asciiTheme="minorHAnsi" w:hAnsiTheme="minorHAnsi" w:cstheme="minorHAnsi"/>
                          <w:b/>
                          <w:bCs/>
                          <w:i/>
                          <w:iCs/>
                          <w:lang w:val="en-US"/>
                        </w:rPr>
                        <w:t>Communication – children and young people</w:t>
                      </w:r>
                    </w:p>
                    <w:p w14:paraId="682C4950" w14:textId="7780AAF7" w:rsidR="00834896" w:rsidRPr="009D098A" w:rsidRDefault="00834896" w:rsidP="00834896">
                      <w:pPr>
                        <w:pStyle w:val="ydpf42a50a8msolistparagraph"/>
                        <w:numPr>
                          <w:ilvl w:val="0"/>
                          <w:numId w:val="10"/>
                        </w:numPr>
                        <w:rPr>
                          <w:rFonts w:asciiTheme="minorHAnsi" w:hAnsiTheme="minorHAnsi" w:cstheme="minorHAnsi"/>
                        </w:rPr>
                      </w:pPr>
                      <w:r w:rsidRPr="009D098A">
                        <w:rPr>
                          <w:rFonts w:asciiTheme="minorHAnsi" w:hAnsiTheme="minorHAnsi" w:cstheme="minorHAnsi"/>
                        </w:rPr>
                        <w:t>Children with a mental health disorder are five times more likely to have problems with speech and language (NHS Digital, 2018).</w:t>
                      </w:r>
                    </w:p>
                    <w:p w14:paraId="06056964" w14:textId="6D001020" w:rsidR="00834896" w:rsidRPr="00B53169" w:rsidRDefault="00834896" w:rsidP="00834896">
                      <w:pPr>
                        <w:pStyle w:val="ydpf42a50a8msolistparagraph"/>
                        <w:numPr>
                          <w:ilvl w:val="0"/>
                          <w:numId w:val="10"/>
                        </w:numPr>
                        <w:rPr>
                          <w:rFonts w:asciiTheme="minorHAnsi" w:hAnsiTheme="minorHAnsi" w:cstheme="minorHAnsi"/>
                        </w:rPr>
                      </w:pPr>
                      <w:r w:rsidRPr="009D098A">
                        <w:rPr>
                          <w:rFonts w:asciiTheme="minorHAnsi" w:hAnsiTheme="minorHAnsi" w:cstheme="minorHAnsi"/>
                        </w:rPr>
                        <w:t xml:space="preserve">81% of children with social, </w:t>
                      </w:r>
                      <w:proofErr w:type="gramStart"/>
                      <w:r w:rsidRPr="009D098A">
                        <w:rPr>
                          <w:rFonts w:asciiTheme="minorHAnsi" w:hAnsiTheme="minorHAnsi" w:cstheme="minorHAnsi"/>
                        </w:rPr>
                        <w:t>emotional</w:t>
                      </w:r>
                      <w:proofErr w:type="gramEnd"/>
                      <w:r w:rsidRPr="009D098A">
                        <w:rPr>
                          <w:rFonts w:asciiTheme="minorHAnsi" w:hAnsiTheme="minorHAnsi" w:cstheme="minorHAnsi"/>
                        </w:rPr>
                        <w:t xml:space="preserve"> and mental health needs have significant unidentified language deficits (Hollo et al, 2014).</w:t>
                      </w:r>
                      <w:r w:rsidR="00222C36">
                        <w:rPr>
                          <w:rFonts w:asciiTheme="minorHAnsi" w:hAnsiTheme="minorHAnsi" w:cstheme="minorHAnsi"/>
                        </w:rPr>
                        <w:t xml:space="preserve"> A</w:t>
                      </w:r>
                      <w:r w:rsidRPr="00B53169">
                        <w:rPr>
                          <w:rFonts w:asciiTheme="minorHAnsi" w:hAnsiTheme="minorHAnsi" w:cstheme="minorHAnsi"/>
                        </w:rPr>
                        <w:t>dolescents and young adults with developmental language disorder (DLD) are more likely to experience anxiety and depression than their peers (Botting et al, 2016).</w:t>
                      </w:r>
                    </w:p>
                    <w:p w14:paraId="18A8E750" w14:textId="77777777" w:rsidR="00834896" w:rsidRPr="009D098A" w:rsidRDefault="00834896" w:rsidP="00834896">
                      <w:pPr>
                        <w:pStyle w:val="ydpf42a50a8msolistparagraph"/>
                        <w:ind w:left="360"/>
                        <w:rPr>
                          <w:rFonts w:asciiTheme="minorHAnsi" w:hAnsiTheme="minorHAnsi" w:cstheme="minorHAnsi"/>
                        </w:rPr>
                      </w:pPr>
                      <w:r w:rsidRPr="009D098A">
                        <w:rPr>
                          <w:rFonts w:asciiTheme="minorHAnsi" w:hAnsiTheme="minorHAnsi" w:cstheme="minorHAnsi"/>
                        </w:rPr>
                        <w:t> </w:t>
                      </w:r>
                    </w:p>
                    <w:p w14:paraId="22BEB491" w14:textId="77777777" w:rsidR="00834896" w:rsidRPr="009D098A" w:rsidRDefault="00834896" w:rsidP="00834896">
                      <w:pPr>
                        <w:pStyle w:val="ydpf42a50a8msonormal"/>
                        <w:spacing w:before="0" w:beforeAutospacing="0" w:after="0" w:afterAutospacing="0"/>
                        <w:rPr>
                          <w:rFonts w:asciiTheme="minorHAnsi" w:hAnsiTheme="minorHAnsi" w:cstheme="minorHAnsi"/>
                        </w:rPr>
                      </w:pPr>
                      <w:r w:rsidRPr="009D098A">
                        <w:rPr>
                          <w:rFonts w:asciiTheme="minorHAnsi" w:hAnsiTheme="minorHAnsi" w:cstheme="minorHAnsi"/>
                          <w:b/>
                          <w:bCs/>
                          <w:i/>
                          <w:iCs/>
                          <w:lang w:val="en-US"/>
                        </w:rPr>
                        <w:t>Swallowing – adults</w:t>
                      </w:r>
                    </w:p>
                    <w:p w14:paraId="0921E39D" w14:textId="77777777" w:rsidR="00834896" w:rsidRPr="009D098A" w:rsidRDefault="00834896" w:rsidP="00834896">
                      <w:pPr>
                        <w:pStyle w:val="ydpf42a50a8msolistparagraph"/>
                        <w:numPr>
                          <w:ilvl w:val="0"/>
                          <w:numId w:val="11"/>
                        </w:numPr>
                        <w:rPr>
                          <w:rFonts w:asciiTheme="minorHAnsi" w:hAnsiTheme="minorHAnsi" w:cstheme="minorHAnsi"/>
                        </w:rPr>
                      </w:pPr>
                      <w:r w:rsidRPr="009D098A">
                        <w:rPr>
                          <w:rFonts w:asciiTheme="minorHAnsi" w:hAnsiTheme="minorHAnsi" w:cstheme="minorHAnsi"/>
                          <w:lang w:val="en-US"/>
                        </w:rPr>
                        <w:t>Over 30% of adults with mental health disorders have some impairment in swallowing (Walsh et al, 2007).</w:t>
                      </w:r>
                    </w:p>
                    <w:p w14:paraId="7425B5B4" w14:textId="77777777" w:rsidR="00834896" w:rsidRPr="009D098A" w:rsidRDefault="00834896" w:rsidP="00834896">
                      <w:pPr>
                        <w:pStyle w:val="ydpf42a50a8msolistparagraph"/>
                        <w:numPr>
                          <w:ilvl w:val="0"/>
                          <w:numId w:val="11"/>
                        </w:numPr>
                        <w:ind w:right="75"/>
                        <w:rPr>
                          <w:rFonts w:asciiTheme="minorHAnsi" w:hAnsiTheme="minorHAnsi" w:cstheme="minorHAnsi"/>
                        </w:rPr>
                      </w:pPr>
                      <w:r w:rsidRPr="009D098A">
                        <w:rPr>
                          <w:rFonts w:asciiTheme="minorHAnsi" w:hAnsiTheme="minorHAnsi" w:cstheme="minorHAnsi"/>
                        </w:rPr>
                        <w:t>There is a greater prevalence of dysphagia (swallowing difficulties) in acute and community mental health settings compared to the general population - 35% in an inpatient unit and 27% in those attending day hospital, which compares to 6% in the general population (Regan et al, 2006).</w:t>
                      </w:r>
                    </w:p>
                    <w:p w14:paraId="65B8B904" w14:textId="77777777" w:rsidR="00834896" w:rsidRDefault="00834896" w:rsidP="00834896">
                      <w:r w:rsidRPr="009D098A">
                        <w:rPr>
                          <w:rFonts w:asciiTheme="minorHAnsi" w:hAnsiTheme="minorHAnsi" w:cstheme="minorHAnsi"/>
                          <w:lang w:val="en-US"/>
                        </w:rPr>
                        <w:t> </w:t>
                      </w:r>
                    </w:p>
                  </w:txbxContent>
                </v:textbox>
                <w10:wrap type="square"/>
              </v:shape>
            </w:pict>
          </mc:Fallback>
        </mc:AlternateContent>
      </w:r>
    </w:p>
    <w:p w14:paraId="2619ED89" w14:textId="360F53E9" w:rsidR="00834896" w:rsidRPr="00790EF8" w:rsidRDefault="00834896" w:rsidP="00834896">
      <w:pPr>
        <w:pStyle w:val="ydpf42a50a8msolistparagraph"/>
        <w:ind w:left="1145"/>
        <w:rPr>
          <w:rFonts w:asciiTheme="minorHAnsi" w:hAnsiTheme="minorHAnsi" w:cstheme="minorHAnsi"/>
        </w:rPr>
      </w:pPr>
    </w:p>
    <w:p w14:paraId="0CD81DD6" w14:textId="247F8C4F" w:rsidR="00046A82" w:rsidRPr="00790EF8" w:rsidRDefault="00743644" w:rsidP="00573C07">
      <w:pPr>
        <w:pStyle w:val="Default"/>
        <w:numPr>
          <w:ilvl w:val="0"/>
          <w:numId w:val="3"/>
        </w:numPr>
        <w:spacing w:after="37"/>
        <w:rPr>
          <w:rFonts w:asciiTheme="minorHAnsi" w:hAnsiTheme="minorHAnsi" w:cstheme="minorHAnsi"/>
          <w:b/>
          <w:bCs/>
          <w:color w:val="auto"/>
          <w:sz w:val="22"/>
          <w:szCs w:val="22"/>
        </w:rPr>
      </w:pPr>
      <w:r w:rsidRPr="00790EF8">
        <w:rPr>
          <w:rFonts w:asciiTheme="minorHAnsi" w:hAnsiTheme="minorHAnsi" w:cstheme="minorHAnsi"/>
          <w:color w:val="auto"/>
          <w:sz w:val="22"/>
          <w:szCs w:val="22"/>
        </w:rPr>
        <w:t xml:space="preserve">Evidence suggests that there is a strong correlation between speech, language and communication difficulties and other risk factors for poorer mental health such as poverty.  For example, research shows that there is a strong correlation between poverty and delayed language.  By which we mean, those children whose language skills are developing significantly more slowly than those of other children of the same age but who do not have a specific disorder.  Studies of whole populations reveal a clear social gradient for language development, with children from the most disadvantaged </w:t>
      </w:r>
      <w:r w:rsidRPr="00790EF8">
        <w:rPr>
          <w:rFonts w:asciiTheme="minorHAnsi" w:hAnsiTheme="minorHAnsi" w:cstheme="minorHAnsi"/>
          <w:color w:val="auto"/>
          <w:sz w:val="22"/>
          <w:szCs w:val="22"/>
        </w:rPr>
        <w:lastRenderedPageBreak/>
        <w:t>groups more likely to have weaker language skills than those in more advantaged groups.</w:t>
      </w:r>
      <w:r w:rsidR="00460024">
        <w:rPr>
          <w:rFonts w:asciiTheme="minorHAnsi" w:hAnsiTheme="minorHAnsi" w:cstheme="minorHAnsi"/>
          <w:color w:val="auto"/>
          <w:sz w:val="22"/>
          <w:szCs w:val="22"/>
        </w:rPr>
        <w:t xml:space="preserve"> </w:t>
      </w:r>
      <w:r w:rsidRPr="00790EF8">
        <w:rPr>
          <w:rFonts w:asciiTheme="minorHAnsi" w:hAnsiTheme="minorHAnsi" w:cstheme="minorHAnsi"/>
          <w:color w:val="auto"/>
          <w:sz w:val="22"/>
          <w:szCs w:val="22"/>
        </w:rPr>
        <w:t xml:space="preserve"> It is estimated that </w:t>
      </w:r>
      <w:r w:rsidRPr="00790EF8">
        <w:rPr>
          <w:rFonts w:asciiTheme="minorHAnsi" w:hAnsiTheme="minorHAnsi" w:cstheme="minorHAnsi"/>
          <w:b/>
          <w:bCs/>
          <w:color w:val="auto"/>
          <w:sz w:val="22"/>
          <w:szCs w:val="22"/>
        </w:rPr>
        <w:t>over 50%</w:t>
      </w:r>
      <w:r w:rsidRPr="00790EF8">
        <w:rPr>
          <w:rFonts w:asciiTheme="minorHAnsi" w:hAnsiTheme="minorHAnsi" w:cstheme="minorHAnsi"/>
          <w:color w:val="auto"/>
          <w:sz w:val="22"/>
          <w:szCs w:val="22"/>
        </w:rPr>
        <w:t xml:space="preserve"> </w:t>
      </w:r>
      <w:r w:rsidRPr="00790EF8">
        <w:rPr>
          <w:rFonts w:asciiTheme="minorHAnsi" w:hAnsiTheme="minorHAnsi" w:cstheme="minorHAnsi"/>
          <w:b/>
          <w:bCs/>
          <w:color w:val="auto"/>
          <w:sz w:val="22"/>
          <w:szCs w:val="22"/>
        </w:rPr>
        <w:t xml:space="preserve">of children in socially deprived areas may start school with impoverished speech, </w:t>
      </w:r>
      <w:proofErr w:type="gramStart"/>
      <w:r w:rsidRPr="00790EF8">
        <w:rPr>
          <w:rFonts w:asciiTheme="minorHAnsi" w:hAnsiTheme="minorHAnsi" w:cstheme="minorHAnsi"/>
          <w:b/>
          <w:bCs/>
          <w:color w:val="auto"/>
          <w:sz w:val="22"/>
          <w:szCs w:val="22"/>
        </w:rPr>
        <w:t>language</w:t>
      </w:r>
      <w:proofErr w:type="gramEnd"/>
      <w:r w:rsidRPr="00790EF8">
        <w:rPr>
          <w:rFonts w:asciiTheme="minorHAnsi" w:hAnsiTheme="minorHAnsi" w:cstheme="minorHAnsi"/>
          <w:b/>
          <w:bCs/>
          <w:color w:val="auto"/>
          <w:sz w:val="22"/>
          <w:szCs w:val="22"/>
        </w:rPr>
        <w:t xml:space="preserve"> and communication skills</w:t>
      </w:r>
      <w:r w:rsidR="00350039">
        <w:rPr>
          <w:rFonts w:asciiTheme="minorHAnsi" w:hAnsiTheme="minorHAnsi" w:cstheme="minorHAnsi"/>
          <w:b/>
          <w:bCs/>
          <w:color w:val="auto"/>
          <w:sz w:val="22"/>
          <w:szCs w:val="22"/>
        </w:rPr>
        <w:t xml:space="preserve"> </w:t>
      </w:r>
      <w:r w:rsidR="00350039" w:rsidRPr="00350039">
        <w:rPr>
          <w:rFonts w:asciiTheme="minorHAnsi" w:hAnsiTheme="minorHAnsi" w:cstheme="minorHAnsi"/>
          <w:color w:val="auto"/>
          <w:sz w:val="22"/>
          <w:szCs w:val="22"/>
        </w:rPr>
        <w:t>(Locke</w:t>
      </w:r>
      <w:r w:rsidR="00350039">
        <w:rPr>
          <w:rFonts w:asciiTheme="minorHAnsi" w:hAnsiTheme="minorHAnsi" w:cstheme="minorHAnsi"/>
          <w:color w:val="auto"/>
          <w:sz w:val="22"/>
          <w:szCs w:val="22"/>
        </w:rPr>
        <w:t xml:space="preserve"> et al</w:t>
      </w:r>
      <w:r w:rsidR="00350039" w:rsidRPr="00350039">
        <w:rPr>
          <w:rFonts w:asciiTheme="minorHAnsi" w:hAnsiTheme="minorHAnsi" w:cstheme="minorHAnsi"/>
          <w:color w:val="auto"/>
          <w:sz w:val="22"/>
          <w:szCs w:val="22"/>
        </w:rPr>
        <w:t>, 2002)</w:t>
      </w:r>
      <w:r w:rsidR="00460024">
        <w:rPr>
          <w:rFonts w:asciiTheme="minorHAnsi" w:hAnsiTheme="minorHAnsi" w:cstheme="minorHAnsi"/>
          <w:b/>
          <w:bCs/>
          <w:color w:val="auto"/>
          <w:sz w:val="22"/>
          <w:szCs w:val="22"/>
        </w:rPr>
        <w:t xml:space="preserve">. </w:t>
      </w:r>
      <w:r w:rsidRPr="00790EF8">
        <w:rPr>
          <w:rFonts w:asciiTheme="minorHAnsi" w:hAnsiTheme="minorHAnsi" w:cstheme="minorHAnsi"/>
          <w:color w:val="auto"/>
          <w:sz w:val="22"/>
          <w:szCs w:val="22"/>
        </w:rPr>
        <w:t xml:space="preserve"> </w:t>
      </w:r>
      <w:r w:rsidR="00046A82" w:rsidRPr="00790EF8">
        <w:rPr>
          <w:rFonts w:asciiTheme="minorHAnsi" w:hAnsiTheme="minorHAnsi" w:cstheme="minorHAnsi"/>
          <w:color w:val="auto"/>
          <w:sz w:val="22"/>
          <w:szCs w:val="22"/>
        </w:rPr>
        <w:t>Vocabulary at age 5 has been found to be the best predictor (from a range of measures at age 5 and 10) of whether children who experienced social deprivation in childhood were able to ‘buck the trend’ and escape poverty in later adult</w:t>
      </w:r>
      <w:r w:rsidR="00317699">
        <w:rPr>
          <w:rFonts w:asciiTheme="minorHAnsi" w:hAnsiTheme="minorHAnsi" w:cstheme="minorHAnsi"/>
          <w:color w:val="auto"/>
          <w:sz w:val="22"/>
          <w:szCs w:val="22"/>
        </w:rPr>
        <w:t xml:space="preserve"> </w:t>
      </w:r>
      <w:r w:rsidR="00046A82" w:rsidRPr="00790EF8">
        <w:rPr>
          <w:rFonts w:asciiTheme="minorHAnsi" w:hAnsiTheme="minorHAnsi" w:cstheme="minorHAnsi"/>
          <w:color w:val="auto"/>
          <w:sz w:val="22"/>
          <w:szCs w:val="22"/>
        </w:rPr>
        <w:t>life</w:t>
      </w:r>
      <w:r w:rsidR="00350039">
        <w:rPr>
          <w:rFonts w:asciiTheme="minorHAnsi" w:hAnsiTheme="minorHAnsi" w:cstheme="minorHAnsi"/>
          <w:color w:val="auto"/>
          <w:sz w:val="22"/>
          <w:szCs w:val="22"/>
        </w:rPr>
        <w:t>.</w:t>
      </w:r>
      <w:r w:rsidR="00317699">
        <w:rPr>
          <w:rFonts w:asciiTheme="minorHAnsi" w:hAnsiTheme="minorHAnsi" w:cstheme="minorHAnsi"/>
          <w:color w:val="auto"/>
          <w:sz w:val="22"/>
          <w:szCs w:val="22"/>
        </w:rPr>
        <w:t xml:space="preserve">  </w:t>
      </w:r>
      <w:r w:rsidR="00046A82" w:rsidRPr="00790EF8">
        <w:rPr>
          <w:rFonts w:asciiTheme="minorHAnsi" w:hAnsiTheme="minorHAnsi" w:cstheme="minorHAnsi"/>
          <w:color w:val="auto"/>
          <w:sz w:val="22"/>
          <w:szCs w:val="22"/>
        </w:rPr>
        <w:t xml:space="preserve">Researchers have found that, after controlling for a range of other factors that might have played a part (mother’s educational level, overcrowding, low birth weight, parent a poor reader, etc), </w:t>
      </w:r>
      <w:r w:rsidR="00046A82" w:rsidRPr="00790EF8">
        <w:rPr>
          <w:rFonts w:asciiTheme="minorHAnsi" w:hAnsiTheme="minorHAnsi" w:cstheme="minorHAnsi"/>
          <w:b/>
          <w:bCs/>
          <w:color w:val="auto"/>
          <w:sz w:val="22"/>
          <w:szCs w:val="22"/>
        </w:rPr>
        <w:t>children who had normal non-verbal skills but a poor vocabulary at age 5 were</w:t>
      </w:r>
      <w:r w:rsidR="00933BDE" w:rsidRPr="00790EF8">
        <w:rPr>
          <w:rFonts w:asciiTheme="minorHAnsi" w:hAnsiTheme="minorHAnsi" w:cstheme="minorHAnsi"/>
          <w:b/>
          <w:bCs/>
          <w:color w:val="auto"/>
          <w:sz w:val="22"/>
          <w:szCs w:val="22"/>
        </w:rPr>
        <w:t>,</w:t>
      </w:r>
      <w:r w:rsidR="00046A82" w:rsidRPr="00790EF8">
        <w:rPr>
          <w:rFonts w:asciiTheme="minorHAnsi" w:hAnsiTheme="minorHAnsi" w:cstheme="minorHAnsi"/>
          <w:b/>
          <w:bCs/>
          <w:color w:val="auto"/>
          <w:sz w:val="22"/>
          <w:szCs w:val="22"/>
        </w:rPr>
        <w:t xml:space="preserve"> at age 34</w:t>
      </w:r>
      <w:r w:rsidR="00933BDE" w:rsidRPr="00790EF8">
        <w:rPr>
          <w:rFonts w:asciiTheme="minorHAnsi" w:hAnsiTheme="minorHAnsi" w:cstheme="minorHAnsi"/>
          <w:b/>
          <w:bCs/>
          <w:color w:val="auto"/>
          <w:sz w:val="22"/>
          <w:szCs w:val="22"/>
        </w:rPr>
        <w:t>,</w:t>
      </w:r>
      <w:r w:rsidR="00046A82" w:rsidRPr="00790EF8">
        <w:rPr>
          <w:rFonts w:asciiTheme="minorHAnsi" w:hAnsiTheme="minorHAnsi" w:cstheme="minorHAnsi"/>
          <w:color w:val="auto"/>
          <w:sz w:val="22"/>
          <w:szCs w:val="22"/>
        </w:rPr>
        <w:t xml:space="preserve"> </w:t>
      </w:r>
      <w:r w:rsidR="00046A82" w:rsidRPr="00790EF8">
        <w:rPr>
          <w:rFonts w:asciiTheme="minorHAnsi" w:hAnsiTheme="minorHAnsi" w:cstheme="minorHAnsi"/>
          <w:b/>
          <w:bCs/>
          <w:color w:val="auto"/>
          <w:sz w:val="22"/>
          <w:szCs w:val="22"/>
        </w:rPr>
        <w:t>one and a half times more likely to be poor readers or have mental health problems and more than twice as likely to be unemployed as children who had normally developing language at age 5</w:t>
      </w:r>
      <w:r w:rsidR="00350039">
        <w:rPr>
          <w:rFonts w:asciiTheme="minorHAnsi" w:hAnsiTheme="minorHAnsi" w:cstheme="minorHAnsi"/>
          <w:b/>
          <w:bCs/>
          <w:color w:val="auto"/>
          <w:sz w:val="22"/>
          <w:szCs w:val="22"/>
        </w:rPr>
        <w:t xml:space="preserve"> </w:t>
      </w:r>
      <w:r w:rsidR="00350039" w:rsidRPr="00350039">
        <w:rPr>
          <w:rFonts w:asciiTheme="minorHAnsi" w:hAnsiTheme="minorHAnsi" w:cstheme="minorHAnsi"/>
          <w:color w:val="auto"/>
          <w:sz w:val="22"/>
          <w:szCs w:val="22"/>
        </w:rPr>
        <w:t>(</w:t>
      </w:r>
      <w:r w:rsidR="00350039" w:rsidRPr="00477673">
        <w:rPr>
          <w:rFonts w:asciiTheme="minorHAnsi" w:hAnsiTheme="minorHAnsi" w:cstheme="minorHAnsi"/>
          <w:color w:val="auto"/>
          <w:sz w:val="22"/>
          <w:szCs w:val="22"/>
        </w:rPr>
        <w:t>Law</w:t>
      </w:r>
      <w:r w:rsidR="00350039" w:rsidRPr="00350039">
        <w:rPr>
          <w:rFonts w:asciiTheme="minorHAnsi" w:hAnsiTheme="minorHAnsi" w:cstheme="minorHAnsi"/>
          <w:color w:val="auto"/>
          <w:sz w:val="22"/>
          <w:szCs w:val="22"/>
        </w:rPr>
        <w:t xml:space="preserve"> et al, 2010)</w:t>
      </w:r>
      <w:r w:rsidR="00046A82" w:rsidRPr="00350039">
        <w:rPr>
          <w:rFonts w:asciiTheme="minorHAnsi" w:hAnsiTheme="minorHAnsi" w:cstheme="minorHAnsi"/>
          <w:color w:val="auto"/>
          <w:sz w:val="22"/>
          <w:szCs w:val="22"/>
        </w:rPr>
        <w:t>.</w:t>
      </w:r>
      <w:r w:rsidR="00573C07" w:rsidRPr="00790EF8">
        <w:rPr>
          <w:rStyle w:val="HeaderChar"/>
          <w:rFonts w:asciiTheme="minorHAnsi" w:eastAsia="Calibri" w:hAnsiTheme="minorHAnsi" w:cstheme="minorHAnsi"/>
          <w:b/>
          <w:bCs/>
          <w:color w:val="auto"/>
          <w:sz w:val="22"/>
          <w:szCs w:val="22"/>
        </w:rPr>
        <w:t xml:space="preserve"> </w:t>
      </w:r>
    </w:p>
    <w:p w14:paraId="59FD624C" w14:textId="77777777" w:rsidR="00046A82" w:rsidRPr="00790EF8" w:rsidRDefault="00046A82" w:rsidP="00046A82">
      <w:pPr>
        <w:pStyle w:val="ydpf42a50a8msonormal"/>
        <w:shd w:val="clear" w:color="auto" w:fill="FFFFFF"/>
        <w:spacing w:before="0" w:beforeAutospacing="0" w:after="300" w:afterAutospacing="0"/>
        <w:rPr>
          <w:rFonts w:asciiTheme="minorHAnsi" w:hAnsiTheme="minorHAnsi" w:cstheme="minorHAnsi"/>
        </w:rPr>
      </w:pPr>
      <w:r w:rsidRPr="00790EF8">
        <w:rPr>
          <w:rFonts w:asciiTheme="minorHAnsi" w:hAnsiTheme="minorHAnsi" w:cstheme="minorHAnsi"/>
        </w:rPr>
        <w:t> </w:t>
      </w:r>
    </w:p>
    <w:p w14:paraId="136905A0" w14:textId="458D18E8" w:rsidR="00834896" w:rsidRPr="00790EF8" w:rsidRDefault="00046A82" w:rsidP="00834896">
      <w:pPr>
        <w:pStyle w:val="ydpf42a50a8msolistparagraph"/>
        <w:numPr>
          <w:ilvl w:val="0"/>
          <w:numId w:val="3"/>
        </w:numPr>
        <w:rPr>
          <w:rFonts w:asciiTheme="minorHAnsi" w:hAnsiTheme="minorHAnsi" w:cstheme="minorHAnsi"/>
        </w:rPr>
      </w:pPr>
      <w:r w:rsidRPr="00790EF8">
        <w:rPr>
          <w:rFonts w:asciiTheme="minorHAnsi" w:hAnsiTheme="minorHAnsi" w:cstheme="minorHAnsi"/>
        </w:rPr>
        <w:t>As another example, research shows that there</w:t>
      </w:r>
      <w:r w:rsidR="00781D04" w:rsidRPr="00790EF8">
        <w:rPr>
          <w:rFonts w:asciiTheme="minorHAnsi" w:hAnsiTheme="minorHAnsi" w:cstheme="minorHAnsi"/>
        </w:rPr>
        <w:t xml:space="preserve"> are particular groups of children and young people who are both more likely to have increased risk of poor mental health and speech, language and communication needs such as looked after children and young people within the youth justice </w:t>
      </w:r>
      <w:r w:rsidR="00E2718F">
        <w:rPr>
          <w:rFonts w:asciiTheme="minorHAnsi" w:hAnsiTheme="minorHAnsi" w:cstheme="minorHAnsi"/>
        </w:rPr>
        <w:t>estate</w:t>
      </w:r>
      <w:r w:rsidR="00781D04" w:rsidRPr="00790EF8">
        <w:rPr>
          <w:rFonts w:asciiTheme="minorHAnsi" w:hAnsiTheme="minorHAnsi" w:cstheme="minorHAnsi"/>
        </w:rPr>
        <w:t xml:space="preserve"> as these figures </w:t>
      </w:r>
      <w:proofErr w:type="gramStart"/>
      <w:r w:rsidR="00781D04" w:rsidRPr="00790EF8">
        <w:rPr>
          <w:rFonts w:asciiTheme="minorHAnsi" w:hAnsiTheme="minorHAnsi" w:cstheme="minorHAnsi"/>
        </w:rPr>
        <w:t>highlight;</w:t>
      </w:r>
      <w:proofErr w:type="gramEnd"/>
    </w:p>
    <w:p w14:paraId="21780DFB" w14:textId="77777777" w:rsidR="00743644" w:rsidRPr="00790EF8" w:rsidRDefault="00743644" w:rsidP="00743644">
      <w:pPr>
        <w:pStyle w:val="ydpf42a50a8msolistparagraph"/>
        <w:ind w:left="1145"/>
        <w:rPr>
          <w:rFonts w:asciiTheme="minorHAnsi" w:hAnsiTheme="minorHAnsi" w:cstheme="minorHAnsi"/>
        </w:rPr>
      </w:pPr>
    </w:p>
    <w:p w14:paraId="7BC2057B" w14:textId="77777777" w:rsidR="00834896" w:rsidRPr="00790EF8" w:rsidRDefault="00834896" w:rsidP="00573C07">
      <w:pPr>
        <w:pStyle w:val="ydpf42a50a8msolistparagraph"/>
        <w:numPr>
          <w:ilvl w:val="0"/>
          <w:numId w:val="4"/>
        </w:numPr>
        <w:rPr>
          <w:rFonts w:asciiTheme="minorHAnsi" w:hAnsiTheme="minorHAnsi" w:cstheme="minorHAnsi"/>
        </w:rPr>
      </w:pPr>
      <w:r w:rsidRPr="00790EF8">
        <w:rPr>
          <w:rFonts w:asciiTheme="minorHAnsi" w:hAnsiTheme="minorHAnsi" w:cstheme="minorHAnsi"/>
          <w:b/>
          <w:bCs/>
        </w:rPr>
        <w:t>66%-90%</w:t>
      </w:r>
      <w:r w:rsidRPr="00790EF8">
        <w:rPr>
          <w:rFonts w:asciiTheme="minorHAnsi" w:hAnsiTheme="minorHAnsi" w:cstheme="minorHAnsi"/>
        </w:rPr>
        <w:t xml:space="preserve"> of young offenders have low language skills.  </w:t>
      </w:r>
      <w:r w:rsidRPr="00790EF8">
        <w:rPr>
          <w:rFonts w:asciiTheme="minorHAnsi" w:hAnsiTheme="minorHAnsi" w:cstheme="minorHAnsi"/>
          <w:b/>
          <w:bCs/>
        </w:rPr>
        <w:t>46-67%</w:t>
      </w:r>
      <w:r w:rsidRPr="00790EF8">
        <w:rPr>
          <w:rFonts w:asciiTheme="minorHAnsi" w:hAnsiTheme="minorHAnsi" w:cstheme="minorHAnsi"/>
        </w:rPr>
        <w:t xml:space="preserve"> of these are in the poor or very poor range (</w:t>
      </w:r>
      <w:r w:rsidRPr="009372C3">
        <w:rPr>
          <w:rFonts w:asciiTheme="minorHAnsi" w:hAnsiTheme="minorHAnsi" w:cstheme="minorHAnsi"/>
        </w:rPr>
        <w:t>Bryan et al, 2007</w:t>
      </w:r>
      <w:r w:rsidRPr="00790EF8">
        <w:rPr>
          <w:rFonts w:asciiTheme="minorHAnsi" w:hAnsiTheme="minorHAnsi" w:cstheme="minorHAnsi"/>
        </w:rPr>
        <w:t>).</w:t>
      </w:r>
    </w:p>
    <w:p w14:paraId="5D59455B" w14:textId="77777777" w:rsidR="00834896" w:rsidRPr="00790EF8" w:rsidRDefault="00834896" w:rsidP="00834896">
      <w:pPr>
        <w:pStyle w:val="ydpf42a50a8msolistparagraph"/>
        <w:ind w:left="720"/>
        <w:rPr>
          <w:rFonts w:asciiTheme="minorHAnsi" w:hAnsiTheme="minorHAnsi" w:cstheme="minorHAnsi"/>
        </w:rPr>
      </w:pPr>
    </w:p>
    <w:p w14:paraId="44C68FB2" w14:textId="6BDFE9C9" w:rsidR="00834896" w:rsidRPr="00790EF8" w:rsidRDefault="00834896" w:rsidP="00834896">
      <w:pPr>
        <w:pStyle w:val="ydpf42a50a8msolistparagraph"/>
        <w:numPr>
          <w:ilvl w:val="0"/>
          <w:numId w:val="5"/>
        </w:numPr>
        <w:spacing w:line="252" w:lineRule="auto"/>
        <w:rPr>
          <w:rFonts w:asciiTheme="minorHAnsi" w:hAnsiTheme="minorHAnsi" w:cstheme="minorHAnsi"/>
        </w:rPr>
      </w:pPr>
      <w:r w:rsidRPr="00790EF8">
        <w:rPr>
          <w:rFonts w:asciiTheme="minorHAnsi" w:hAnsiTheme="minorHAnsi" w:cstheme="minorHAnsi"/>
        </w:rPr>
        <w:t xml:space="preserve">In a recent study, </w:t>
      </w:r>
      <w:r w:rsidRPr="00790EF8">
        <w:rPr>
          <w:rFonts w:asciiTheme="minorHAnsi" w:hAnsiTheme="minorHAnsi" w:cstheme="minorHAnsi"/>
          <w:b/>
          <w:bCs/>
        </w:rPr>
        <w:t>90%</w:t>
      </w:r>
      <w:r w:rsidRPr="00790EF8">
        <w:rPr>
          <w:rFonts w:asciiTheme="minorHAnsi" w:hAnsiTheme="minorHAnsi" w:cstheme="minorHAnsi"/>
        </w:rPr>
        <w:t xml:space="preserve"> of care leavers had below average language ability, and 60% met criteria for having DLD – a </w:t>
      </w:r>
      <w:r w:rsidR="00FC6C9A" w:rsidRPr="00790EF8">
        <w:rPr>
          <w:rFonts w:asciiTheme="minorHAnsi" w:hAnsiTheme="minorHAnsi" w:cstheme="minorHAnsi"/>
        </w:rPr>
        <w:t xml:space="preserve">likely lifelong </w:t>
      </w:r>
      <w:r w:rsidRPr="00790EF8">
        <w:rPr>
          <w:rFonts w:asciiTheme="minorHAnsi" w:hAnsiTheme="minorHAnsi" w:cstheme="minorHAnsi"/>
        </w:rPr>
        <w:t xml:space="preserve">condition where children have problems understanding and/or using spoken language. None of these young people had previously been diagnosed with speech, </w:t>
      </w:r>
      <w:proofErr w:type="gramStart"/>
      <w:r w:rsidRPr="00790EF8">
        <w:rPr>
          <w:rFonts w:asciiTheme="minorHAnsi" w:hAnsiTheme="minorHAnsi" w:cstheme="minorHAnsi"/>
        </w:rPr>
        <w:t>language</w:t>
      </w:r>
      <w:proofErr w:type="gramEnd"/>
      <w:r w:rsidRPr="00790EF8">
        <w:rPr>
          <w:rFonts w:asciiTheme="minorHAnsi" w:hAnsiTheme="minorHAnsi" w:cstheme="minorHAnsi"/>
        </w:rPr>
        <w:t xml:space="preserve"> and communication needs</w:t>
      </w:r>
      <w:r w:rsidR="00EB19C5" w:rsidRPr="00790EF8">
        <w:rPr>
          <w:rFonts w:asciiTheme="minorHAnsi" w:hAnsiTheme="minorHAnsi" w:cstheme="minorHAnsi"/>
        </w:rPr>
        <w:t xml:space="preserve"> (</w:t>
      </w:r>
      <w:r w:rsidR="00350039">
        <w:rPr>
          <w:rFonts w:asciiTheme="minorHAnsi" w:hAnsiTheme="minorHAnsi" w:cstheme="minorHAnsi"/>
        </w:rPr>
        <w:t>Clegg et al, 2021</w:t>
      </w:r>
      <w:r w:rsidR="00EB19C5" w:rsidRPr="00790EF8">
        <w:rPr>
          <w:rFonts w:asciiTheme="minorHAnsi" w:hAnsiTheme="minorHAnsi" w:cstheme="minorHAnsi"/>
        </w:rPr>
        <w:t>)</w:t>
      </w:r>
      <w:r w:rsidR="00E2718F">
        <w:rPr>
          <w:rFonts w:asciiTheme="minorHAnsi" w:hAnsiTheme="minorHAnsi" w:cstheme="minorHAnsi"/>
        </w:rPr>
        <w:t>.</w:t>
      </w:r>
    </w:p>
    <w:p w14:paraId="10837F20" w14:textId="77777777" w:rsidR="00834896" w:rsidRPr="00790EF8" w:rsidRDefault="00834896" w:rsidP="00834896">
      <w:pPr>
        <w:pStyle w:val="ydpf42a50a8msolistparagraph"/>
        <w:spacing w:line="252" w:lineRule="auto"/>
        <w:ind w:left="720"/>
        <w:rPr>
          <w:rFonts w:asciiTheme="minorHAnsi" w:hAnsiTheme="minorHAnsi" w:cstheme="minorHAnsi"/>
        </w:rPr>
      </w:pPr>
      <w:r w:rsidRPr="00790EF8">
        <w:rPr>
          <w:rFonts w:asciiTheme="minorHAnsi" w:hAnsiTheme="minorHAnsi" w:cstheme="minorHAnsi"/>
        </w:rPr>
        <w:t> </w:t>
      </w:r>
    </w:p>
    <w:p w14:paraId="1FB0B1D7" w14:textId="77777777" w:rsidR="00834896" w:rsidRPr="00790EF8" w:rsidRDefault="00834896" w:rsidP="00834896">
      <w:pPr>
        <w:pStyle w:val="ydpf42a50a8msonormal"/>
        <w:shd w:val="clear" w:color="auto" w:fill="FFFFFF"/>
        <w:spacing w:before="0" w:beforeAutospacing="0" w:after="0" w:afterAutospacing="0"/>
        <w:textAlignment w:val="baseline"/>
        <w:rPr>
          <w:rFonts w:asciiTheme="minorHAnsi" w:hAnsiTheme="minorHAnsi" w:cstheme="minorHAnsi"/>
          <w:b/>
          <w:bCs/>
        </w:rPr>
      </w:pPr>
      <w:r w:rsidRPr="00790EF8">
        <w:rPr>
          <w:rFonts w:asciiTheme="minorHAnsi" w:hAnsiTheme="minorHAnsi" w:cstheme="minorHAnsi"/>
          <w:b/>
          <w:bCs/>
        </w:rPr>
        <w:t>For the groups identified, what are the barriers to accessing mental health services? How effectively can existing services meet their needs, and how could their experience of using mental health services be improved?</w:t>
      </w:r>
    </w:p>
    <w:p w14:paraId="0859E255" w14:textId="77777777" w:rsidR="00834896" w:rsidRPr="00790EF8" w:rsidRDefault="00834896" w:rsidP="00834896">
      <w:pPr>
        <w:rPr>
          <w:rFonts w:asciiTheme="minorHAnsi" w:hAnsiTheme="minorHAnsi" w:cstheme="minorHAnsi"/>
        </w:rPr>
      </w:pPr>
    </w:p>
    <w:p w14:paraId="6E622843" w14:textId="488D9F85" w:rsidR="00E9221E" w:rsidRPr="00790EF8" w:rsidRDefault="00781D04" w:rsidP="00B53169">
      <w:pPr>
        <w:pStyle w:val="ydpf42a50a8msolistparagraph"/>
        <w:numPr>
          <w:ilvl w:val="0"/>
          <w:numId w:val="3"/>
        </w:numPr>
        <w:rPr>
          <w:rFonts w:asciiTheme="minorHAnsi" w:hAnsiTheme="minorHAnsi" w:cstheme="minorHAnsi"/>
        </w:rPr>
      </w:pPr>
      <w:r w:rsidRPr="00790EF8">
        <w:rPr>
          <w:rFonts w:asciiTheme="minorHAnsi" w:hAnsiTheme="minorHAnsi" w:cstheme="minorHAnsi"/>
        </w:rPr>
        <w:t>As we have sought to highlight above, good communication skills are a protective factor against developing mental health problems and communication difficulties are also a risk factor</w:t>
      </w:r>
      <w:r w:rsidR="00834896" w:rsidRPr="00790EF8">
        <w:rPr>
          <w:rFonts w:asciiTheme="minorHAnsi" w:hAnsiTheme="minorHAnsi" w:cstheme="minorHAnsi"/>
        </w:rPr>
        <w:t xml:space="preserve"> with regards to </w:t>
      </w:r>
      <w:r w:rsidRPr="00790EF8">
        <w:rPr>
          <w:rFonts w:asciiTheme="minorHAnsi" w:hAnsiTheme="minorHAnsi" w:cstheme="minorHAnsi"/>
        </w:rPr>
        <w:t xml:space="preserve">developing mental health problems.  </w:t>
      </w:r>
      <w:r w:rsidR="00B53169" w:rsidRPr="00790EF8">
        <w:rPr>
          <w:rFonts w:asciiTheme="minorHAnsi" w:hAnsiTheme="minorHAnsi" w:cstheme="minorHAnsi"/>
        </w:rPr>
        <w:t xml:space="preserve">The </w:t>
      </w:r>
      <w:r w:rsidR="00E9221E" w:rsidRPr="00790EF8">
        <w:rPr>
          <w:rFonts w:asciiTheme="minorHAnsi" w:hAnsiTheme="minorHAnsi" w:cstheme="minorHAnsi"/>
        </w:rPr>
        <w:t xml:space="preserve">Kings Fund </w:t>
      </w:r>
      <w:r w:rsidR="00B53169" w:rsidRPr="00790EF8">
        <w:rPr>
          <w:rFonts w:asciiTheme="minorHAnsi" w:hAnsiTheme="minorHAnsi" w:cstheme="minorHAnsi"/>
        </w:rPr>
        <w:t xml:space="preserve">notes </w:t>
      </w:r>
      <w:proofErr w:type="gramStart"/>
      <w:r w:rsidR="00B53169" w:rsidRPr="00790EF8">
        <w:rPr>
          <w:rFonts w:asciiTheme="minorHAnsi" w:hAnsiTheme="minorHAnsi" w:cstheme="minorHAnsi"/>
        </w:rPr>
        <w:t>that</w:t>
      </w:r>
      <w:r w:rsidR="00E9221E" w:rsidRPr="00790EF8">
        <w:rPr>
          <w:rFonts w:asciiTheme="minorHAnsi" w:hAnsiTheme="minorHAnsi" w:cstheme="minorHAnsi"/>
        </w:rPr>
        <w:t>;</w:t>
      </w:r>
      <w:proofErr w:type="gramEnd"/>
    </w:p>
    <w:p w14:paraId="46788B4A" w14:textId="19847D23" w:rsidR="00E9221E" w:rsidRPr="00790EF8" w:rsidRDefault="00E9221E" w:rsidP="00E9221E">
      <w:pPr>
        <w:pStyle w:val="ydpf42a50a8msolistparagraph"/>
        <w:ind w:left="1145"/>
        <w:rPr>
          <w:rFonts w:asciiTheme="minorHAnsi" w:hAnsiTheme="minorHAnsi" w:cstheme="minorHAnsi"/>
        </w:rPr>
      </w:pPr>
    </w:p>
    <w:p w14:paraId="388EE48F" w14:textId="484DA629" w:rsidR="00E9221E" w:rsidRPr="00790EF8" w:rsidRDefault="00E9221E" w:rsidP="00E9221E">
      <w:pPr>
        <w:pStyle w:val="ydpf42a50a8msolistparagraph"/>
        <w:ind w:left="1145"/>
        <w:rPr>
          <w:rFonts w:asciiTheme="minorHAnsi" w:hAnsiTheme="minorHAnsi" w:cstheme="minorHAnsi"/>
        </w:rPr>
      </w:pPr>
      <w:r w:rsidRPr="00790EF8">
        <w:rPr>
          <w:rFonts w:asciiTheme="minorHAnsi" w:hAnsiTheme="minorHAnsi" w:cstheme="minorHAnsi"/>
        </w:rPr>
        <w:t xml:space="preserve">‘Health inequalities can be unpacked into inequalities in health care and inequalities in health outcomes. </w:t>
      </w:r>
      <w:r w:rsidR="00460024">
        <w:rPr>
          <w:rFonts w:asciiTheme="minorHAnsi" w:hAnsiTheme="minorHAnsi" w:cstheme="minorHAnsi"/>
        </w:rPr>
        <w:t xml:space="preserve"> </w:t>
      </w:r>
      <w:r w:rsidRPr="00790EF8">
        <w:rPr>
          <w:rFonts w:asciiTheme="minorHAnsi" w:hAnsiTheme="minorHAnsi" w:cstheme="minorHAnsi"/>
        </w:rPr>
        <w:t xml:space="preserve">Health care inequalities includes differences in access, diagnostics, treatment, experience or health care funding and workforce and health outcomes inequalities refers to differences in morbidity and mortality. </w:t>
      </w:r>
      <w:r w:rsidR="00EB19C5" w:rsidRPr="00790EF8">
        <w:rPr>
          <w:rFonts w:asciiTheme="minorHAnsi" w:hAnsiTheme="minorHAnsi" w:cstheme="minorHAnsi"/>
        </w:rPr>
        <w:t xml:space="preserve"> </w:t>
      </w:r>
      <w:r w:rsidRPr="00790EF8">
        <w:rPr>
          <w:rFonts w:asciiTheme="minorHAnsi" w:hAnsiTheme="minorHAnsi" w:cstheme="minorHAnsi"/>
        </w:rPr>
        <w:t>These differences may be seen across the socio-economic gradient; disadvantaged groups (e.g., ethnic minority groups, LGBTQ+); or inclusion health groups (e.g., homeless, undocumented migrants). Health care inequalities are under the control of health care organisations, but health outcome inequalities are primarily driven by wider factors, such as the social determinants of health (</w:t>
      </w:r>
      <w:hyperlink r:id="rId9" w:history="1">
        <w:r w:rsidRPr="00790EF8">
          <w:rPr>
            <w:rStyle w:val="Hyperlink"/>
            <w:rFonts w:asciiTheme="minorHAnsi" w:hAnsiTheme="minorHAnsi" w:cstheme="minorHAnsi"/>
            <w:color w:val="auto"/>
          </w:rPr>
          <w:t>King’s Fund, 2021</w:t>
        </w:r>
      </w:hyperlink>
      <w:r w:rsidR="00477673">
        <w:rPr>
          <w:rStyle w:val="Hyperlink"/>
          <w:rFonts w:asciiTheme="minorHAnsi" w:hAnsiTheme="minorHAnsi" w:cstheme="minorHAnsi"/>
          <w:color w:val="auto"/>
        </w:rPr>
        <w:t>a</w:t>
      </w:r>
      <w:r w:rsidRPr="00790EF8">
        <w:rPr>
          <w:rFonts w:asciiTheme="minorHAnsi" w:hAnsiTheme="minorHAnsi" w:cstheme="minorHAnsi"/>
        </w:rPr>
        <w:t xml:space="preserve">).’ </w:t>
      </w:r>
    </w:p>
    <w:p w14:paraId="5798BB9F" w14:textId="77777777" w:rsidR="00E9221E" w:rsidRPr="00790EF8" w:rsidRDefault="00E9221E" w:rsidP="00E9221E">
      <w:pPr>
        <w:pStyle w:val="ydpf42a50a8msolistparagraph"/>
        <w:rPr>
          <w:rFonts w:asciiTheme="minorHAnsi" w:hAnsiTheme="minorHAnsi" w:cstheme="minorHAnsi"/>
        </w:rPr>
      </w:pPr>
    </w:p>
    <w:p w14:paraId="107F9FC1" w14:textId="02163386" w:rsidR="00E9221E" w:rsidRPr="00790EF8" w:rsidRDefault="00733F98" w:rsidP="00E9221E">
      <w:pPr>
        <w:pStyle w:val="ydpf42a50a8msolistparagraph"/>
        <w:numPr>
          <w:ilvl w:val="0"/>
          <w:numId w:val="3"/>
        </w:numPr>
        <w:rPr>
          <w:rFonts w:asciiTheme="minorHAnsi" w:hAnsiTheme="minorHAnsi" w:cstheme="minorHAnsi"/>
        </w:rPr>
      </w:pPr>
      <w:r w:rsidRPr="00790EF8">
        <w:rPr>
          <w:rFonts w:asciiTheme="minorHAnsi" w:hAnsiTheme="minorHAnsi" w:cstheme="minorHAnsi"/>
        </w:rPr>
        <w:t>We believe that a</w:t>
      </w:r>
      <w:r w:rsidR="00046A82" w:rsidRPr="00790EF8">
        <w:rPr>
          <w:rFonts w:asciiTheme="minorHAnsi" w:hAnsiTheme="minorHAnsi" w:cstheme="minorHAnsi"/>
        </w:rPr>
        <w:t xml:space="preserve">ction is required both within mental health services </w:t>
      </w:r>
      <w:r w:rsidR="00573C07" w:rsidRPr="00790EF8">
        <w:rPr>
          <w:rFonts w:asciiTheme="minorHAnsi" w:hAnsiTheme="minorHAnsi" w:cstheme="minorHAnsi"/>
        </w:rPr>
        <w:t>with regard</w:t>
      </w:r>
      <w:r w:rsidR="00460024">
        <w:rPr>
          <w:rFonts w:asciiTheme="minorHAnsi" w:hAnsiTheme="minorHAnsi" w:cstheme="minorHAnsi"/>
        </w:rPr>
        <w:t>s</w:t>
      </w:r>
      <w:r w:rsidR="00573C07" w:rsidRPr="00790EF8">
        <w:rPr>
          <w:rFonts w:asciiTheme="minorHAnsi" w:hAnsiTheme="minorHAnsi" w:cstheme="minorHAnsi"/>
        </w:rPr>
        <w:t xml:space="preserve"> to addressing health care inequalities in this area </w:t>
      </w:r>
      <w:r w:rsidRPr="00790EF8">
        <w:rPr>
          <w:rFonts w:asciiTheme="minorHAnsi" w:hAnsiTheme="minorHAnsi" w:cstheme="minorHAnsi"/>
        </w:rPr>
        <w:t>as we discuss here</w:t>
      </w:r>
      <w:r w:rsidR="00573C07" w:rsidRPr="00790EF8">
        <w:rPr>
          <w:rFonts w:asciiTheme="minorHAnsi" w:hAnsiTheme="minorHAnsi" w:cstheme="minorHAnsi"/>
        </w:rPr>
        <w:t>.  Action is also needed</w:t>
      </w:r>
      <w:r w:rsidRPr="00790EF8">
        <w:rPr>
          <w:rFonts w:asciiTheme="minorHAnsi" w:hAnsiTheme="minorHAnsi" w:cstheme="minorHAnsi"/>
        </w:rPr>
        <w:t xml:space="preserve"> </w:t>
      </w:r>
      <w:r w:rsidR="00046A82" w:rsidRPr="00790EF8">
        <w:rPr>
          <w:rFonts w:asciiTheme="minorHAnsi" w:hAnsiTheme="minorHAnsi" w:cstheme="minorHAnsi"/>
        </w:rPr>
        <w:t>at a broader system level</w:t>
      </w:r>
      <w:r w:rsidR="00573C07" w:rsidRPr="00790EF8">
        <w:rPr>
          <w:rFonts w:asciiTheme="minorHAnsi" w:hAnsiTheme="minorHAnsi" w:cstheme="minorHAnsi"/>
        </w:rPr>
        <w:t xml:space="preserve"> with regards to addressing health outcome inequalities </w:t>
      </w:r>
      <w:r w:rsidRPr="00790EF8">
        <w:rPr>
          <w:rFonts w:asciiTheme="minorHAnsi" w:hAnsiTheme="minorHAnsi" w:cstheme="minorHAnsi"/>
        </w:rPr>
        <w:t>as we discuss in response to the final question posed in the terms of reference</w:t>
      </w:r>
      <w:r w:rsidR="00046A82" w:rsidRPr="00790EF8">
        <w:rPr>
          <w:rFonts w:asciiTheme="minorHAnsi" w:hAnsiTheme="minorHAnsi" w:cstheme="minorHAnsi"/>
        </w:rPr>
        <w:t xml:space="preserve">.  </w:t>
      </w:r>
    </w:p>
    <w:p w14:paraId="75700125" w14:textId="77777777" w:rsidR="00E9221E" w:rsidRPr="00790EF8" w:rsidRDefault="00E9221E" w:rsidP="00E9221E">
      <w:pPr>
        <w:pStyle w:val="ydpf42a50a8msolistparagraph"/>
        <w:ind w:left="1145"/>
        <w:rPr>
          <w:rFonts w:asciiTheme="minorHAnsi" w:hAnsiTheme="minorHAnsi" w:cstheme="minorHAnsi"/>
        </w:rPr>
      </w:pPr>
    </w:p>
    <w:p w14:paraId="5851AA94" w14:textId="70A87A32" w:rsidR="00E9221E" w:rsidRPr="00790EF8" w:rsidRDefault="00781D04" w:rsidP="00E9221E">
      <w:pPr>
        <w:pStyle w:val="ydpf42a50a8msolistparagraph"/>
        <w:numPr>
          <w:ilvl w:val="0"/>
          <w:numId w:val="3"/>
        </w:numPr>
        <w:rPr>
          <w:rFonts w:asciiTheme="minorHAnsi" w:hAnsiTheme="minorHAnsi" w:cstheme="minorHAnsi"/>
        </w:rPr>
      </w:pPr>
      <w:r w:rsidRPr="00790EF8">
        <w:rPr>
          <w:rFonts w:asciiTheme="minorHAnsi" w:hAnsiTheme="minorHAnsi" w:cstheme="minorHAnsi"/>
        </w:rPr>
        <w:t xml:space="preserve">Communication </w:t>
      </w:r>
      <w:r w:rsidR="00E9221E" w:rsidRPr="00790EF8">
        <w:rPr>
          <w:rFonts w:asciiTheme="minorHAnsi" w:hAnsiTheme="minorHAnsi" w:cstheme="minorHAnsi"/>
        </w:rPr>
        <w:t>can be</w:t>
      </w:r>
      <w:r w:rsidRPr="00790EF8">
        <w:rPr>
          <w:rFonts w:asciiTheme="minorHAnsi" w:hAnsiTheme="minorHAnsi" w:cstheme="minorHAnsi"/>
        </w:rPr>
        <w:t xml:space="preserve"> challenging for people with mental health problems.  When communication difficulties are not identified, it can lead to inaccurate diagnoses of mental health problems, preventing timely access to appropriate interventions.</w:t>
      </w:r>
      <w:r w:rsidR="00812A39" w:rsidRPr="00790EF8">
        <w:rPr>
          <w:rFonts w:asciiTheme="minorHAnsi" w:hAnsiTheme="minorHAnsi" w:cstheme="minorHAnsi"/>
        </w:rPr>
        <w:t xml:space="preserve"> </w:t>
      </w:r>
      <w:r w:rsidRPr="00790EF8">
        <w:rPr>
          <w:rFonts w:asciiTheme="minorHAnsi" w:hAnsiTheme="minorHAnsi" w:cstheme="minorHAnsi"/>
        </w:rPr>
        <w:t xml:space="preserve"> If communication needs are unmet and unsupported, they can present significant barriers to engagement with mental health services</w:t>
      </w:r>
      <w:r w:rsidR="00812A39" w:rsidRPr="00790EF8">
        <w:rPr>
          <w:rFonts w:asciiTheme="minorHAnsi" w:hAnsiTheme="minorHAnsi" w:cstheme="minorHAnsi"/>
        </w:rPr>
        <w:t xml:space="preserve"> and can significantly impede recovery</w:t>
      </w:r>
      <w:r w:rsidRPr="00790EF8">
        <w:rPr>
          <w:rFonts w:asciiTheme="minorHAnsi" w:hAnsiTheme="minorHAnsi" w:cstheme="minorHAnsi"/>
        </w:rPr>
        <w:t xml:space="preserve">.  For example, </w:t>
      </w:r>
      <w:r w:rsidRPr="00790EF8">
        <w:rPr>
          <w:rFonts w:asciiTheme="minorHAnsi" w:hAnsiTheme="minorHAnsi" w:cstheme="minorHAnsi"/>
          <w:lang w:val="en-US"/>
        </w:rPr>
        <w:t>referrals and assessments, including risk assessments for capacity and consent, which are inaccessible and/or return inaccurate results or diagnoses</w:t>
      </w:r>
      <w:r w:rsidR="004F6E4F" w:rsidRPr="00790EF8">
        <w:rPr>
          <w:rFonts w:asciiTheme="minorHAnsi" w:hAnsiTheme="minorHAnsi" w:cstheme="minorHAnsi"/>
          <w:lang w:val="en-US"/>
        </w:rPr>
        <w:t xml:space="preserve">.  </w:t>
      </w:r>
      <w:r w:rsidR="00EB19C5" w:rsidRPr="00790EF8">
        <w:rPr>
          <w:rFonts w:asciiTheme="minorHAnsi" w:hAnsiTheme="minorHAnsi" w:cstheme="minorHAnsi"/>
          <w:lang w:val="en-US"/>
        </w:rPr>
        <w:t>I</w:t>
      </w:r>
      <w:r w:rsidRPr="00790EF8">
        <w:rPr>
          <w:rFonts w:asciiTheme="minorHAnsi" w:hAnsiTheme="minorHAnsi" w:cstheme="minorHAnsi"/>
          <w:lang w:val="en-US"/>
        </w:rPr>
        <w:t xml:space="preserve">nterventions that are verbally delivered </w:t>
      </w:r>
      <w:r w:rsidR="004F6E4F" w:rsidRPr="00790EF8">
        <w:rPr>
          <w:rFonts w:asciiTheme="minorHAnsi" w:hAnsiTheme="minorHAnsi" w:cstheme="minorHAnsi"/>
          <w:lang w:val="en-US"/>
        </w:rPr>
        <w:t xml:space="preserve">may </w:t>
      </w:r>
      <w:r w:rsidR="00EB19C5" w:rsidRPr="00790EF8">
        <w:rPr>
          <w:rFonts w:asciiTheme="minorHAnsi" w:hAnsiTheme="minorHAnsi" w:cstheme="minorHAnsi"/>
          <w:lang w:val="en-US"/>
        </w:rPr>
        <w:t xml:space="preserve">also </w:t>
      </w:r>
      <w:r w:rsidR="004F6E4F" w:rsidRPr="00790EF8">
        <w:rPr>
          <w:rFonts w:asciiTheme="minorHAnsi" w:hAnsiTheme="minorHAnsi" w:cstheme="minorHAnsi"/>
          <w:lang w:val="en-US"/>
        </w:rPr>
        <w:t xml:space="preserve">be </w:t>
      </w:r>
      <w:r w:rsidRPr="00790EF8">
        <w:rPr>
          <w:rFonts w:asciiTheme="minorHAnsi" w:hAnsiTheme="minorHAnsi" w:cstheme="minorHAnsi"/>
          <w:lang w:val="en-US"/>
        </w:rPr>
        <w:t xml:space="preserve">unsuccessful, </w:t>
      </w:r>
      <w:r w:rsidRPr="00790EF8">
        <w:rPr>
          <w:rFonts w:asciiTheme="minorHAnsi" w:hAnsiTheme="minorHAnsi" w:cstheme="minorHAnsi"/>
        </w:rPr>
        <w:t xml:space="preserve">due to omission of effective reasonable adjustments and communication support strategies </w:t>
      </w:r>
      <w:r w:rsidRPr="00790EF8">
        <w:rPr>
          <w:rFonts w:asciiTheme="minorHAnsi" w:hAnsiTheme="minorHAnsi" w:cstheme="minorHAnsi"/>
          <w:lang w:val="en-US"/>
        </w:rPr>
        <w:t xml:space="preserve">with the potential for public resources to be wasted on failed interventions and legal ramifications.  </w:t>
      </w:r>
      <w:r w:rsidR="00812A39" w:rsidRPr="00790EF8">
        <w:rPr>
          <w:rFonts w:asciiTheme="minorHAnsi" w:hAnsiTheme="minorHAnsi" w:cstheme="minorHAnsi"/>
          <w:lang w:val="en-US"/>
        </w:rPr>
        <w:t xml:space="preserve">Effective communication is core to many therapeutic supports and enabling an individual through their recovery journey and is crucial within relational security. </w:t>
      </w:r>
    </w:p>
    <w:p w14:paraId="5009E3AE" w14:textId="77777777" w:rsidR="00E9221E" w:rsidRPr="00790EF8" w:rsidRDefault="00E9221E" w:rsidP="00E9221E">
      <w:pPr>
        <w:pStyle w:val="ListParagraph"/>
        <w:rPr>
          <w:rFonts w:asciiTheme="minorHAnsi" w:hAnsiTheme="minorHAnsi" w:cstheme="minorHAnsi"/>
        </w:rPr>
      </w:pPr>
    </w:p>
    <w:p w14:paraId="720E5283" w14:textId="28C3553A" w:rsidR="00E9221E" w:rsidRPr="00790EF8" w:rsidRDefault="00781D04" w:rsidP="00E9221E">
      <w:pPr>
        <w:pStyle w:val="ydpf42a50a8msolistparagraph"/>
        <w:numPr>
          <w:ilvl w:val="0"/>
          <w:numId w:val="3"/>
        </w:numPr>
        <w:rPr>
          <w:rFonts w:asciiTheme="minorHAnsi" w:hAnsiTheme="minorHAnsi" w:cstheme="minorHAnsi"/>
        </w:rPr>
      </w:pPr>
      <w:r w:rsidRPr="00790EF8">
        <w:rPr>
          <w:rFonts w:asciiTheme="minorHAnsi" w:hAnsiTheme="minorHAnsi" w:cstheme="minorHAnsi"/>
        </w:rPr>
        <w:t xml:space="preserve">People with communication difficulties may have lower levels of health literacy and as a result have less understanding of, and insight into, managing and maintaining their own mental health. </w:t>
      </w:r>
      <w:r w:rsidR="00460024">
        <w:rPr>
          <w:rFonts w:asciiTheme="minorHAnsi" w:hAnsiTheme="minorHAnsi" w:cstheme="minorHAnsi"/>
        </w:rPr>
        <w:t xml:space="preserve"> </w:t>
      </w:r>
      <w:r w:rsidRPr="00790EF8">
        <w:rPr>
          <w:rFonts w:asciiTheme="minorHAnsi" w:hAnsiTheme="minorHAnsi" w:cstheme="minorHAnsi"/>
        </w:rPr>
        <w:t>Speech and language difficulties create barriers to recovery and affect longer term resilience of patients.</w:t>
      </w:r>
    </w:p>
    <w:p w14:paraId="2A806B43" w14:textId="77777777" w:rsidR="00E9221E" w:rsidRPr="00790EF8" w:rsidRDefault="00E9221E" w:rsidP="00E9221E">
      <w:pPr>
        <w:pStyle w:val="ListParagraph"/>
        <w:rPr>
          <w:rFonts w:asciiTheme="minorHAnsi" w:hAnsiTheme="minorHAnsi" w:cstheme="minorHAnsi"/>
          <w:lang w:val="en-US"/>
        </w:rPr>
      </w:pPr>
    </w:p>
    <w:p w14:paraId="5CFED4AC" w14:textId="77777777" w:rsidR="00E9221E" w:rsidRPr="00790EF8" w:rsidRDefault="00781D04" w:rsidP="00E9221E">
      <w:pPr>
        <w:pStyle w:val="ydpf42a50a8msolistparagraph"/>
        <w:numPr>
          <w:ilvl w:val="0"/>
          <w:numId w:val="3"/>
        </w:numPr>
        <w:rPr>
          <w:rFonts w:asciiTheme="minorHAnsi" w:hAnsiTheme="minorHAnsi" w:cstheme="minorHAnsi"/>
        </w:rPr>
      </w:pPr>
      <w:r w:rsidRPr="00790EF8">
        <w:rPr>
          <w:rFonts w:asciiTheme="minorHAnsi" w:hAnsiTheme="minorHAnsi" w:cstheme="minorHAnsi"/>
          <w:lang w:val="en-US"/>
        </w:rPr>
        <w:t>Unmet swallowing needs can also pose a significant risk to patient safety, including through choking and aspiration pneumonia.</w:t>
      </w:r>
      <w:r w:rsidRPr="00790EF8">
        <w:rPr>
          <w:rFonts w:asciiTheme="minorHAnsi" w:hAnsiTheme="minorHAnsi" w:cstheme="minorHAnsi"/>
        </w:rPr>
        <w:t>  For example, the risk of death due to choking in people with schizophrenia has been reported as 30 times more likely than in the general population (</w:t>
      </w:r>
      <w:proofErr w:type="spellStart"/>
      <w:r w:rsidRPr="00790EF8">
        <w:rPr>
          <w:rFonts w:asciiTheme="minorHAnsi" w:hAnsiTheme="minorHAnsi" w:cstheme="minorHAnsi"/>
        </w:rPr>
        <w:t>Ruschena</w:t>
      </w:r>
      <w:proofErr w:type="spellEnd"/>
      <w:r w:rsidRPr="00790EF8">
        <w:rPr>
          <w:rFonts w:asciiTheme="minorHAnsi" w:hAnsiTheme="minorHAnsi" w:cstheme="minorHAnsi"/>
        </w:rPr>
        <w:t xml:space="preserve"> et al, 2003).</w:t>
      </w:r>
    </w:p>
    <w:p w14:paraId="3731B389" w14:textId="77777777" w:rsidR="00E9221E" w:rsidRPr="00790EF8" w:rsidRDefault="00E9221E" w:rsidP="00E9221E">
      <w:pPr>
        <w:pStyle w:val="ListParagraph"/>
        <w:rPr>
          <w:rFonts w:asciiTheme="minorHAnsi" w:hAnsiTheme="minorHAnsi" w:cstheme="minorHAnsi"/>
        </w:rPr>
      </w:pPr>
    </w:p>
    <w:p w14:paraId="0D0F34F5" w14:textId="53DD6E78" w:rsidR="00E9221E" w:rsidRPr="00790EF8" w:rsidRDefault="00EB19C5" w:rsidP="00E9221E">
      <w:pPr>
        <w:pStyle w:val="ydpf42a50a8msolistparagraph"/>
        <w:numPr>
          <w:ilvl w:val="0"/>
          <w:numId w:val="3"/>
        </w:numPr>
        <w:rPr>
          <w:rFonts w:asciiTheme="minorHAnsi" w:hAnsiTheme="minorHAnsi" w:cstheme="minorHAnsi"/>
        </w:rPr>
      </w:pPr>
      <w:r w:rsidRPr="00790EF8">
        <w:rPr>
          <w:rFonts w:asciiTheme="minorHAnsi" w:hAnsiTheme="minorHAnsi" w:cstheme="minorHAnsi"/>
        </w:rPr>
        <w:t>SLTs</w:t>
      </w:r>
      <w:r w:rsidR="00781D04" w:rsidRPr="00790EF8">
        <w:rPr>
          <w:rFonts w:asciiTheme="minorHAnsi" w:hAnsiTheme="minorHAnsi" w:cstheme="minorHAnsi"/>
        </w:rPr>
        <w:t xml:space="preserve"> have a unique role to play as members of multi-disciplinary mental health teams in identifying communication difficulties and swallowing disorders, in their support and in the management and reduction of associated harm and risk.  </w:t>
      </w:r>
      <w:r w:rsidRPr="00790EF8">
        <w:rPr>
          <w:rFonts w:asciiTheme="minorHAnsi" w:hAnsiTheme="minorHAnsi" w:cstheme="minorHAnsi"/>
        </w:rPr>
        <w:t>SLTs</w:t>
      </w:r>
      <w:r w:rsidR="00781D04" w:rsidRPr="00790EF8">
        <w:rPr>
          <w:rFonts w:asciiTheme="minorHAnsi" w:hAnsiTheme="minorHAnsi" w:cstheme="minorHAnsi"/>
        </w:rPr>
        <w:t xml:space="preserve"> can help by advising other team members </w:t>
      </w:r>
      <w:r w:rsidR="00812A39" w:rsidRPr="00790EF8">
        <w:rPr>
          <w:rFonts w:asciiTheme="minorHAnsi" w:hAnsiTheme="minorHAnsi" w:cstheme="minorHAnsi"/>
        </w:rPr>
        <w:t xml:space="preserve">and partnership service providers </w:t>
      </w:r>
      <w:r w:rsidR="00781D04" w:rsidRPr="00790EF8">
        <w:rPr>
          <w:rFonts w:asciiTheme="minorHAnsi" w:hAnsiTheme="minorHAnsi" w:cstheme="minorHAnsi"/>
        </w:rPr>
        <w:t xml:space="preserve">how to adapt their communication and differentiate materials and resources. </w:t>
      </w:r>
    </w:p>
    <w:p w14:paraId="1B6F409F" w14:textId="77777777" w:rsidR="00E9221E" w:rsidRPr="00790EF8" w:rsidRDefault="00E9221E" w:rsidP="00E9221E">
      <w:pPr>
        <w:pStyle w:val="ListParagraph"/>
        <w:rPr>
          <w:rFonts w:asciiTheme="minorHAnsi" w:hAnsiTheme="minorHAnsi" w:cstheme="minorHAnsi"/>
        </w:rPr>
      </w:pPr>
    </w:p>
    <w:p w14:paraId="547F6EE9" w14:textId="0A9BC8CC" w:rsidR="00E9221E" w:rsidRPr="00790EF8" w:rsidRDefault="00781D04" w:rsidP="00E9221E">
      <w:pPr>
        <w:pStyle w:val="ydpf42a50a8msolistparagraph"/>
        <w:numPr>
          <w:ilvl w:val="0"/>
          <w:numId w:val="3"/>
        </w:numPr>
        <w:rPr>
          <w:rFonts w:asciiTheme="minorHAnsi" w:hAnsiTheme="minorHAnsi" w:cstheme="minorHAnsi"/>
        </w:rPr>
      </w:pPr>
      <w:r w:rsidRPr="00790EF8">
        <w:rPr>
          <w:rFonts w:asciiTheme="minorHAnsi" w:hAnsiTheme="minorHAnsi" w:cstheme="minorHAnsi"/>
        </w:rPr>
        <w:t xml:space="preserve">We are very concerned given the body of evidence on the relationship between mental health and swallowing and communication difficulties that currently in Wales, SLTs do not form part of core mental health teams.  </w:t>
      </w:r>
      <w:r w:rsidRPr="00790EF8">
        <w:rPr>
          <w:rFonts w:asciiTheme="minorHAnsi" w:hAnsiTheme="minorHAnsi" w:cstheme="minorHAnsi"/>
          <w:lang w:val="en-US"/>
        </w:rPr>
        <w:t xml:space="preserve">We have completed a recent survey with </w:t>
      </w:r>
      <w:r w:rsidR="00323AC2">
        <w:rPr>
          <w:rFonts w:asciiTheme="minorHAnsi" w:hAnsiTheme="minorHAnsi" w:cstheme="minorHAnsi"/>
          <w:lang w:val="en-US"/>
        </w:rPr>
        <w:t>speech and language therapy</w:t>
      </w:r>
      <w:r w:rsidRPr="00790EF8">
        <w:rPr>
          <w:rFonts w:asciiTheme="minorHAnsi" w:hAnsiTheme="minorHAnsi" w:cstheme="minorHAnsi"/>
          <w:lang w:val="en-US"/>
        </w:rPr>
        <w:t xml:space="preserve"> managers across NHS Wales on specific mental health workforce provision.  This has revealed that</w:t>
      </w:r>
      <w:r w:rsidRPr="00790EF8">
        <w:rPr>
          <w:rFonts w:asciiTheme="minorHAnsi" w:hAnsiTheme="minorHAnsi" w:cstheme="minorHAnsi"/>
          <w:b/>
          <w:bCs/>
          <w:lang w:val="en-US"/>
        </w:rPr>
        <w:t xml:space="preserve"> </w:t>
      </w:r>
      <w:r w:rsidRPr="00790EF8">
        <w:rPr>
          <w:rFonts w:asciiTheme="minorHAnsi" w:hAnsiTheme="minorHAnsi" w:cstheme="minorHAnsi"/>
        </w:rPr>
        <w:t xml:space="preserve">there is little dedicated </w:t>
      </w:r>
      <w:r w:rsidR="00EB19C5" w:rsidRPr="00790EF8">
        <w:rPr>
          <w:rFonts w:asciiTheme="minorHAnsi" w:hAnsiTheme="minorHAnsi" w:cstheme="minorHAnsi"/>
        </w:rPr>
        <w:t xml:space="preserve">speech and language therapy </w:t>
      </w:r>
      <w:r w:rsidRPr="00790EF8">
        <w:rPr>
          <w:rFonts w:asciiTheme="minorHAnsi" w:hAnsiTheme="minorHAnsi" w:cstheme="minorHAnsi"/>
        </w:rPr>
        <w:t>workforce into</w:t>
      </w:r>
      <w:r w:rsidR="00B94BA0" w:rsidRPr="00790EF8">
        <w:rPr>
          <w:rFonts w:asciiTheme="minorHAnsi" w:hAnsiTheme="minorHAnsi" w:cstheme="minorHAnsi"/>
        </w:rPr>
        <w:t xml:space="preserve"> </w:t>
      </w:r>
      <w:r w:rsidRPr="00790EF8">
        <w:rPr>
          <w:rFonts w:asciiTheme="minorHAnsi" w:hAnsiTheme="minorHAnsi" w:cstheme="minorHAnsi"/>
        </w:rPr>
        <w:t>primary care</w:t>
      </w:r>
      <w:r w:rsidR="00B94BA0" w:rsidRPr="00790EF8">
        <w:rPr>
          <w:rFonts w:asciiTheme="minorHAnsi" w:hAnsiTheme="minorHAnsi" w:cstheme="minorHAnsi"/>
        </w:rPr>
        <w:t xml:space="preserve">, </w:t>
      </w:r>
      <w:r w:rsidRPr="00790EF8">
        <w:rPr>
          <w:rFonts w:asciiTheme="minorHAnsi" w:hAnsiTheme="minorHAnsi" w:cstheme="minorHAnsi"/>
        </w:rPr>
        <w:t>specialist secondary care</w:t>
      </w:r>
      <w:r w:rsidR="00B94BA0" w:rsidRPr="00790EF8">
        <w:rPr>
          <w:rFonts w:asciiTheme="minorHAnsi" w:hAnsiTheme="minorHAnsi" w:cstheme="minorHAnsi"/>
        </w:rPr>
        <w:t xml:space="preserve"> or </w:t>
      </w:r>
      <w:r w:rsidRPr="00790EF8">
        <w:rPr>
          <w:rFonts w:asciiTheme="minorHAnsi" w:hAnsiTheme="minorHAnsi" w:cstheme="minorHAnsi"/>
        </w:rPr>
        <w:t xml:space="preserve">inpatient or community for mainstream working age adult mental health inpatient.  There are no </w:t>
      </w:r>
      <w:r w:rsidR="00EB19C5" w:rsidRPr="00790EF8">
        <w:rPr>
          <w:rFonts w:asciiTheme="minorHAnsi" w:hAnsiTheme="minorHAnsi" w:cstheme="minorHAnsi"/>
        </w:rPr>
        <w:t xml:space="preserve">speech and language therapy </w:t>
      </w:r>
      <w:r w:rsidRPr="00790EF8">
        <w:rPr>
          <w:rFonts w:asciiTheme="minorHAnsi" w:hAnsiTheme="minorHAnsi" w:cstheme="minorHAnsi"/>
        </w:rPr>
        <w:t xml:space="preserve">services in adult mental health and forensic services and </w:t>
      </w:r>
      <w:r w:rsidR="00EB19C5" w:rsidRPr="00790EF8">
        <w:rPr>
          <w:rFonts w:asciiTheme="minorHAnsi" w:hAnsiTheme="minorHAnsi" w:cstheme="minorHAnsi"/>
        </w:rPr>
        <w:t>SLTs</w:t>
      </w:r>
      <w:r w:rsidRPr="00790EF8">
        <w:rPr>
          <w:rFonts w:asciiTheme="minorHAnsi" w:hAnsiTheme="minorHAnsi" w:cstheme="minorHAnsi"/>
        </w:rPr>
        <w:t xml:space="preserve"> are under-represented within Specialist Tertiary Services.  The </w:t>
      </w:r>
      <w:proofErr w:type="gramStart"/>
      <w:r w:rsidRPr="00790EF8">
        <w:rPr>
          <w:rFonts w:asciiTheme="minorHAnsi" w:hAnsiTheme="minorHAnsi" w:cstheme="minorHAnsi"/>
        </w:rPr>
        <w:t>All Wales</w:t>
      </w:r>
      <w:proofErr w:type="gramEnd"/>
      <w:r w:rsidRPr="00790EF8">
        <w:rPr>
          <w:rFonts w:asciiTheme="minorHAnsi" w:hAnsiTheme="minorHAnsi" w:cstheme="minorHAnsi"/>
        </w:rPr>
        <w:t xml:space="preserve"> Neuropsychiatry service is the only such service in Wales and is a specialist tertiary service providing neuropsychiatric rehabilitation for those presenting with acquired brain injury and resulting cognitive/communication, emotional, behavioural and psychiatric conditions.  Despite some provision, there is considerable </w:t>
      </w:r>
      <w:r w:rsidR="00EB19C5" w:rsidRPr="00790EF8">
        <w:rPr>
          <w:rFonts w:asciiTheme="minorHAnsi" w:hAnsiTheme="minorHAnsi" w:cstheme="minorHAnsi"/>
        </w:rPr>
        <w:t xml:space="preserve">speech and language therapy </w:t>
      </w:r>
      <w:r w:rsidRPr="00790EF8">
        <w:rPr>
          <w:rFonts w:asciiTheme="minorHAnsi" w:hAnsiTheme="minorHAnsi" w:cstheme="minorHAnsi"/>
        </w:rPr>
        <w:t>unmet need within the service which needs to be addressed.  Additionally, whilst there is some provision for children</w:t>
      </w:r>
      <w:r w:rsidR="00323AC2">
        <w:rPr>
          <w:rFonts w:asciiTheme="minorHAnsi" w:hAnsiTheme="minorHAnsi" w:cstheme="minorHAnsi"/>
        </w:rPr>
        <w:t xml:space="preserve"> and young people, </w:t>
      </w:r>
      <w:r w:rsidR="00EB19C5" w:rsidRPr="00790EF8">
        <w:rPr>
          <w:rFonts w:asciiTheme="minorHAnsi" w:hAnsiTheme="minorHAnsi" w:cstheme="minorHAnsi"/>
        </w:rPr>
        <w:t>for example</w:t>
      </w:r>
      <w:r w:rsidR="00E2718F">
        <w:rPr>
          <w:rFonts w:asciiTheme="minorHAnsi" w:hAnsiTheme="minorHAnsi" w:cstheme="minorHAnsi"/>
        </w:rPr>
        <w:t>,</w:t>
      </w:r>
      <w:r w:rsidRPr="00790EF8">
        <w:rPr>
          <w:rFonts w:asciiTheme="minorHAnsi" w:hAnsiTheme="minorHAnsi" w:cstheme="minorHAnsi"/>
        </w:rPr>
        <w:t xml:space="preserve"> within youth </w:t>
      </w:r>
      <w:r w:rsidR="00E2718F">
        <w:rPr>
          <w:rFonts w:asciiTheme="minorHAnsi" w:hAnsiTheme="minorHAnsi" w:cstheme="minorHAnsi"/>
        </w:rPr>
        <w:t>justice</w:t>
      </w:r>
      <w:r w:rsidRPr="00790EF8">
        <w:rPr>
          <w:rFonts w:asciiTheme="minorHAnsi" w:hAnsiTheme="minorHAnsi" w:cstheme="minorHAnsi"/>
        </w:rPr>
        <w:t xml:space="preserve"> services, this is not included in all services and even where it is present, it is not relative to the need.  </w:t>
      </w:r>
    </w:p>
    <w:p w14:paraId="1344BCA8" w14:textId="4F064682" w:rsidR="00E9221E" w:rsidRPr="00790EF8" w:rsidRDefault="00E9221E" w:rsidP="00E9221E">
      <w:pPr>
        <w:pStyle w:val="ydpf42a50a8msolistparagraph"/>
        <w:ind w:left="1145"/>
        <w:rPr>
          <w:rFonts w:asciiTheme="minorHAnsi" w:hAnsiTheme="minorHAnsi" w:cstheme="minorHAnsi"/>
        </w:rPr>
      </w:pPr>
    </w:p>
    <w:p w14:paraId="73A8607F" w14:textId="30E65263" w:rsidR="00E9221E" w:rsidRPr="00790EF8" w:rsidRDefault="00E9221E" w:rsidP="00855DEC">
      <w:pPr>
        <w:pStyle w:val="ydpf42a50a8msonormal"/>
        <w:shd w:val="clear" w:color="auto" w:fill="FFFFFF"/>
        <w:spacing w:before="0" w:beforeAutospacing="0" w:after="0" w:afterAutospacing="0"/>
        <w:textAlignment w:val="baseline"/>
        <w:rPr>
          <w:rFonts w:asciiTheme="minorHAnsi" w:hAnsiTheme="minorHAnsi" w:cstheme="minorHAnsi"/>
          <w:b/>
          <w:bCs/>
        </w:rPr>
      </w:pPr>
      <w:r w:rsidRPr="00790EF8">
        <w:rPr>
          <w:rFonts w:asciiTheme="minorHAnsi" w:hAnsiTheme="minorHAnsi" w:cstheme="minorHAnsi"/>
          <w:b/>
          <w:bCs/>
        </w:rPr>
        <w:t>To what extent does Welsh Government policy recognise and address the mental health needs of these groups? Where are the policy gaps?</w:t>
      </w:r>
    </w:p>
    <w:p w14:paraId="1D8ADFE0" w14:textId="77777777" w:rsidR="00E9221E" w:rsidRPr="00790EF8" w:rsidRDefault="00E9221E" w:rsidP="00E9221E">
      <w:pPr>
        <w:pStyle w:val="ydpf42a50a8msolistparagraph"/>
        <w:rPr>
          <w:rFonts w:asciiTheme="minorHAnsi" w:hAnsiTheme="minorHAnsi" w:cstheme="minorHAnsi"/>
        </w:rPr>
      </w:pPr>
      <w:r w:rsidRPr="00790EF8">
        <w:rPr>
          <w:rFonts w:asciiTheme="minorHAnsi" w:hAnsiTheme="minorHAnsi" w:cstheme="minorHAnsi"/>
          <w:i/>
          <w:iCs/>
        </w:rPr>
        <w:lastRenderedPageBreak/>
        <w:t>Workforce</w:t>
      </w:r>
    </w:p>
    <w:p w14:paraId="3ECBBC06" w14:textId="77777777" w:rsidR="00E9221E" w:rsidRPr="00790EF8" w:rsidRDefault="00E9221E" w:rsidP="00E9221E">
      <w:pPr>
        <w:pStyle w:val="ydpf42a50a8msolistparagraph"/>
        <w:ind w:left="1145"/>
        <w:rPr>
          <w:rFonts w:asciiTheme="minorHAnsi" w:hAnsiTheme="minorHAnsi" w:cstheme="minorHAnsi"/>
        </w:rPr>
      </w:pPr>
    </w:p>
    <w:p w14:paraId="7586E336" w14:textId="0CF627AE" w:rsidR="00E9221E" w:rsidRPr="00790EF8" w:rsidRDefault="00781D04" w:rsidP="00E9221E">
      <w:pPr>
        <w:pStyle w:val="ydpf42a50a8msolistparagraph"/>
        <w:numPr>
          <w:ilvl w:val="0"/>
          <w:numId w:val="3"/>
        </w:numPr>
        <w:rPr>
          <w:rFonts w:asciiTheme="minorHAnsi" w:hAnsiTheme="minorHAnsi" w:cstheme="minorHAnsi"/>
        </w:rPr>
      </w:pPr>
      <w:r w:rsidRPr="00790EF8">
        <w:rPr>
          <w:rFonts w:asciiTheme="minorHAnsi" w:hAnsiTheme="minorHAnsi" w:cstheme="minorHAnsi"/>
        </w:rPr>
        <w:t xml:space="preserve">The Health Education Improvement Wales Social Care </w:t>
      </w:r>
      <w:r w:rsidR="00EB19C5" w:rsidRPr="00790EF8">
        <w:rPr>
          <w:rFonts w:asciiTheme="minorHAnsi" w:hAnsiTheme="minorHAnsi" w:cstheme="minorHAnsi"/>
        </w:rPr>
        <w:t>M</w:t>
      </w:r>
      <w:r w:rsidRPr="00790EF8">
        <w:rPr>
          <w:rFonts w:asciiTheme="minorHAnsi" w:hAnsiTheme="minorHAnsi" w:cstheme="minorHAnsi"/>
        </w:rPr>
        <w:t xml:space="preserve">ental </w:t>
      </w:r>
      <w:r w:rsidR="00EB19C5" w:rsidRPr="00790EF8">
        <w:rPr>
          <w:rFonts w:asciiTheme="minorHAnsi" w:hAnsiTheme="minorHAnsi" w:cstheme="minorHAnsi"/>
        </w:rPr>
        <w:t>H</w:t>
      </w:r>
      <w:r w:rsidRPr="00790EF8">
        <w:rPr>
          <w:rFonts w:asciiTheme="minorHAnsi" w:hAnsiTheme="minorHAnsi" w:cstheme="minorHAnsi"/>
        </w:rPr>
        <w:t xml:space="preserve">ealth </w:t>
      </w:r>
      <w:r w:rsidR="00EB19C5" w:rsidRPr="00790EF8">
        <w:rPr>
          <w:rFonts w:asciiTheme="minorHAnsi" w:hAnsiTheme="minorHAnsi" w:cstheme="minorHAnsi"/>
        </w:rPr>
        <w:t>W</w:t>
      </w:r>
      <w:r w:rsidRPr="00790EF8">
        <w:rPr>
          <w:rFonts w:asciiTheme="minorHAnsi" w:hAnsiTheme="minorHAnsi" w:cstheme="minorHAnsi"/>
        </w:rPr>
        <w:t>orkforce</w:t>
      </w:r>
      <w:r w:rsidRPr="00790EF8">
        <w:rPr>
          <w:rFonts w:asciiTheme="minorHAnsi" w:hAnsiTheme="minorHAnsi" w:cstheme="minorHAnsi"/>
          <w:lang w:val="en-US"/>
        </w:rPr>
        <w:t xml:space="preserve"> </w:t>
      </w:r>
      <w:r w:rsidR="00EB19C5" w:rsidRPr="00790EF8">
        <w:rPr>
          <w:rFonts w:asciiTheme="minorHAnsi" w:hAnsiTheme="minorHAnsi" w:cstheme="minorHAnsi"/>
          <w:lang w:val="en-US"/>
        </w:rPr>
        <w:t>P</w:t>
      </w:r>
      <w:r w:rsidRPr="00790EF8">
        <w:rPr>
          <w:rFonts w:asciiTheme="minorHAnsi" w:hAnsiTheme="minorHAnsi" w:cstheme="minorHAnsi"/>
          <w:lang w:val="en-US"/>
        </w:rPr>
        <w:t xml:space="preserve">lan – a key action within the Together for Mental Health Action Plan - provides a real opportunity to remodel current provision and create sustainable services which ensure that all people in Wales </w:t>
      </w:r>
      <w:r w:rsidR="00460024">
        <w:rPr>
          <w:rFonts w:asciiTheme="minorHAnsi" w:hAnsiTheme="minorHAnsi" w:cstheme="minorHAnsi"/>
          <w:lang w:val="en-US"/>
        </w:rPr>
        <w:t>can</w:t>
      </w:r>
      <w:r w:rsidRPr="00790EF8">
        <w:rPr>
          <w:rFonts w:asciiTheme="minorHAnsi" w:hAnsiTheme="minorHAnsi" w:cstheme="minorHAnsi"/>
          <w:lang w:val="en-US"/>
        </w:rPr>
        <w:t xml:space="preserve"> access appropriate mental health support.  </w:t>
      </w:r>
      <w:r w:rsidRPr="00790EF8">
        <w:rPr>
          <w:rFonts w:asciiTheme="minorHAnsi" w:hAnsiTheme="minorHAnsi" w:cstheme="minorHAnsi"/>
        </w:rPr>
        <w:t>We believe that multidisciplinary working – with a well-trained, supported workforce that is equipped to meet the demands – should be central to the future provision of mental health services.  This approach would enable each group of professionals to use their own unique skills, knowledge, and abilities to better meet the needs of individuals.  In our view, development and improvement of the mental health workforce must include the full range of allied health professionals (AHPs)</w:t>
      </w:r>
      <w:r w:rsidR="00812A39" w:rsidRPr="00790EF8">
        <w:rPr>
          <w:rFonts w:asciiTheme="minorHAnsi" w:hAnsiTheme="minorHAnsi" w:cstheme="minorHAnsi"/>
        </w:rPr>
        <w:t xml:space="preserve">, </w:t>
      </w:r>
      <w:r w:rsidR="00EB19C5" w:rsidRPr="00790EF8">
        <w:rPr>
          <w:rFonts w:asciiTheme="minorHAnsi" w:hAnsiTheme="minorHAnsi" w:cstheme="minorHAnsi"/>
        </w:rPr>
        <w:t xml:space="preserve">within </w:t>
      </w:r>
      <w:r w:rsidR="00812A39" w:rsidRPr="00790EF8">
        <w:rPr>
          <w:rFonts w:asciiTheme="minorHAnsi" w:hAnsiTheme="minorHAnsi" w:cstheme="minorHAnsi"/>
        </w:rPr>
        <w:t>both inpatient and community services,</w:t>
      </w:r>
      <w:r w:rsidRPr="00790EF8">
        <w:rPr>
          <w:rFonts w:asciiTheme="minorHAnsi" w:hAnsiTheme="minorHAnsi" w:cstheme="minorHAnsi"/>
        </w:rPr>
        <w:t> and bring in new professions and skillsets, including speech and language therapy.  </w:t>
      </w:r>
      <w:r w:rsidR="00812A39" w:rsidRPr="00790EF8">
        <w:rPr>
          <w:rFonts w:asciiTheme="minorHAnsi" w:hAnsiTheme="minorHAnsi" w:cstheme="minorHAnsi"/>
        </w:rPr>
        <w:t xml:space="preserve">We believe that the workforce needs to include dedicated posts and specialist speech and language therapists from within and integral to mental health services.  This </w:t>
      </w:r>
      <w:r w:rsidRPr="00790EF8">
        <w:rPr>
          <w:rFonts w:asciiTheme="minorHAnsi" w:hAnsiTheme="minorHAnsi" w:cstheme="minorHAnsi"/>
        </w:rPr>
        <w:t xml:space="preserve">will be ever more important following upcoming changes to mental health legislation. </w:t>
      </w:r>
    </w:p>
    <w:p w14:paraId="4D76D7C2" w14:textId="77777777" w:rsidR="00E9221E" w:rsidRPr="00790EF8" w:rsidRDefault="00E9221E" w:rsidP="00E9221E">
      <w:pPr>
        <w:pStyle w:val="ydpf42a50a8msolistparagraph"/>
        <w:ind w:left="1145"/>
        <w:rPr>
          <w:rFonts w:asciiTheme="minorHAnsi" w:hAnsiTheme="minorHAnsi" w:cstheme="minorHAnsi"/>
        </w:rPr>
      </w:pPr>
    </w:p>
    <w:p w14:paraId="1E50279C" w14:textId="5EE3F6EB" w:rsidR="00E9221E" w:rsidRPr="00790EF8" w:rsidRDefault="00781D04" w:rsidP="00E9221E">
      <w:pPr>
        <w:pStyle w:val="ydpf42a50a8msolistparagraph"/>
        <w:numPr>
          <w:ilvl w:val="0"/>
          <w:numId w:val="3"/>
        </w:numPr>
        <w:rPr>
          <w:rFonts w:asciiTheme="minorHAnsi" w:hAnsiTheme="minorHAnsi" w:cstheme="minorHAnsi"/>
        </w:rPr>
      </w:pPr>
      <w:r w:rsidRPr="00790EF8">
        <w:rPr>
          <w:rFonts w:asciiTheme="minorHAnsi" w:hAnsiTheme="minorHAnsi" w:cstheme="minorHAnsi"/>
        </w:rPr>
        <w:t xml:space="preserve">Whilst we welcome the current draft consultation document </w:t>
      </w:r>
      <w:r w:rsidR="00790EF8" w:rsidRPr="00790EF8">
        <w:rPr>
          <w:rFonts w:asciiTheme="minorHAnsi" w:hAnsiTheme="minorHAnsi" w:cstheme="minorHAnsi"/>
        </w:rPr>
        <w:t xml:space="preserve">on the plan </w:t>
      </w:r>
      <w:r w:rsidRPr="00790EF8">
        <w:rPr>
          <w:rFonts w:asciiTheme="minorHAnsi" w:hAnsiTheme="minorHAnsi" w:cstheme="minorHAnsi"/>
        </w:rPr>
        <w:t xml:space="preserve">and references to AHP scenario planning and pathfinders, we would welcome far greater detail on how new professions whose role is well-evidenced (such are speech and language therapy) and referenced within NICE guidelines become a core part of mental health services in the future and road map planning as is proposed for other professions.  There is much learning here from the experience of </w:t>
      </w:r>
      <w:r w:rsidR="00FC6C9A" w:rsidRPr="00790EF8">
        <w:rPr>
          <w:rFonts w:asciiTheme="minorHAnsi" w:hAnsiTheme="minorHAnsi" w:cstheme="minorHAnsi"/>
        </w:rPr>
        <w:t>s</w:t>
      </w:r>
      <w:r w:rsidRPr="00790EF8">
        <w:rPr>
          <w:rFonts w:asciiTheme="minorHAnsi" w:hAnsiTheme="minorHAnsi" w:cstheme="minorHAnsi"/>
        </w:rPr>
        <w:t xml:space="preserve">peech and Language therapy within dementia services.  Following a specific recommendation from the </w:t>
      </w:r>
      <w:r w:rsidR="00323AC2">
        <w:rPr>
          <w:rFonts w:asciiTheme="minorHAnsi" w:hAnsiTheme="minorHAnsi" w:cstheme="minorHAnsi"/>
        </w:rPr>
        <w:t xml:space="preserve">previous Senedd </w:t>
      </w:r>
      <w:r w:rsidRPr="00790EF8">
        <w:rPr>
          <w:rFonts w:asciiTheme="minorHAnsi" w:hAnsiTheme="minorHAnsi" w:cstheme="minorHAnsi"/>
        </w:rPr>
        <w:t>Health, Social Care and Sport Committee</w:t>
      </w:r>
      <w:r w:rsidR="00323AC2">
        <w:rPr>
          <w:rFonts w:asciiTheme="minorHAnsi" w:hAnsiTheme="minorHAnsi" w:cstheme="minorHAnsi"/>
        </w:rPr>
        <w:t xml:space="preserve"> in their report on the use of anti-psychotic medication in care home</w:t>
      </w:r>
      <w:r w:rsidR="00460024">
        <w:rPr>
          <w:rFonts w:asciiTheme="minorHAnsi" w:hAnsiTheme="minorHAnsi" w:cstheme="minorHAnsi"/>
        </w:rPr>
        <w:t>s</w:t>
      </w:r>
      <w:r w:rsidRPr="00790EF8">
        <w:rPr>
          <w:rFonts w:asciiTheme="minorHAnsi" w:hAnsiTheme="minorHAnsi" w:cstheme="minorHAnsi"/>
        </w:rPr>
        <w:t xml:space="preserve"> </w:t>
      </w:r>
      <w:r w:rsidR="00E9221E" w:rsidRPr="00790EF8">
        <w:rPr>
          <w:rFonts w:asciiTheme="minorHAnsi" w:hAnsiTheme="minorHAnsi" w:cstheme="minorHAnsi"/>
        </w:rPr>
        <w:t>(</w:t>
      </w:r>
      <w:r w:rsidR="00323AC2">
        <w:rPr>
          <w:rFonts w:asciiTheme="minorHAnsi" w:hAnsiTheme="minorHAnsi" w:cstheme="minorHAnsi"/>
        </w:rPr>
        <w:t>Senedd Health, Social Care and Sport Committee, 2018)</w:t>
      </w:r>
      <w:r w:rsidRPr="00790EF8">
        <w:rPr>
          <w:rFonts w:asciiTheme="minorHAnsi" w:hAnsiTheme="minorHAnsi" w:cstheme="minorHAnsi"/>
        </w:rPr>
        <w:t xml:space="preserve"> and references to communi</w:t>
      </w:r>
      <w:r w:rsidR="00E9221E" w:rsidRPr="00790EF8">
        <w:rPr>
          <w:rFonts w:asciiTheme="minorHAnsi" w:hAnsiTheme="minorHAnsi" w:cstheme="minorHAnsi"/>
        </w:rPr>
        <w:t>c</w:t>
      </w:r>
      <w:r w:rsidRPr="00790EF8">
        <w:rPr>
          <w:rFonts w:asciiTheme="minorHAnsi" w:hAnsiTheme="minorHAnsi" w:cstheme="minorHAnsi"/>
        </w:rPr>
        <w:t xml:space="preserve">ation and swallowing support within the </w:t>
      </w:r>
      <w:r w:rsidR="00E9221E" w:rsidRPr="00790EF8">
        <w:rPr>
          <w:rFonts w:asciiTheme="minorHAnsi" w:hAnsiTheme="minorHAnsi" w:cstheme="minorHAnsi"/>
        </w:rPr>
        <w:t xml:space="preserve">Welsh Government </w:t>
      </w:r>
      <w:r w:rsidRPr="00790EF8">
        <w:rPr>
          <w:rFonts w:asciiTheme="minorHAnsi" w:hAnsiTheme="minorHAnsi" w:cstheme="minorHAnsi"/>
        </w:rPr>
        <w:t>Dementia Action Plan</w:t>
      </w:r>
      <w:r w:rsidR="00323AC2">
        <w:rPr>
          <w:rFonts w:asciiTheme="minorHAnsi" w:hAnsiTheme="minorHAnsi" w:cstheme="minorHAnsi"/>
        </w:rPr>
        <w:t xml:space="preserve"> for Wales </w:t>
      </w:r>
      <w:r w:rsidR="0098395C">
        <w:rPr>
          <w:rFonts w:asciiTheme="minorHAnsi" w:hAnsiTheme="minorHAnsi" w:cstheme="minorHAnsi"/>
        </w:rPr>
        <w:t>(Welsh Government, 2018)</w:t>
      </w:r>
      <w:r w:rsidRPr="00790EF8">
        <w:rPr>
          <w:rFonts w:asciiTheme="minorHAnsi" w:hAnsiTheme="minorHAnsi" w:cstheme="minorHAnsi"/>
        </w:rPr>
        <w:t xml:space="preserve">, we have seen significant increases in the number of speech and language </w:t>
      </w:r>
      <w:r w:rsidR="00FC6C9A" w:rsidRPr="00790EF8">
        <w:rPr>
          <w:rFonts w:asciiTheme="minorHAnsi" w:hAnsiTheme="minorHAnsi" w:cstheme="minorHAnsi"/>
        </w:rPr>
        <w:t xml:space="preserve">therapists </w:t>
      </w:r>
      <w:r w:rsidRPr="00790EF8">
        <w:rPr>
          <w:rFonts w:asciiTheme="minorHAnsi" w:hAnsiTheme="minorHAnsi" w:cstheme="minorHAnsi"/>
        </w:rPr>
        <w:t xml:space="preserve">available to support people affected by dementia and the development of key roles to scope service need.  We would wish to see key actions within the </w:t>
      </w:r>
      <w:r w:rsidR="00E9221E" w:rsidRPr="00790EF8">
        <w:rPr>
          <w:rFonts w:asciiTheme="minorHAnsi" w:hAnsiTheme="minorHAnsi" w:cstheme="minorHAnsi"/>
        </w:rPr>
        <w:t xml:space="preserve">workforce </w:t>
      </w:r>
      <w:r w:rsidRPr="00790EF8">
        <w:rPr>
          <w:rFonts w:asciiTheme="minorHAnsi" w:hAnsiTheme="minorHAnsi" w:cstheme="minorHAnsi"/>
        </w:rPr>
        <w:t xml:space="preserve">plan.  Communication needs are also currently not specifically mentioned within the existing Together for Mental Health </w:t>
      </w:r>
      <w:r w:rsidR="00460024">
        <w:rPr>
          <w:rFonts w:asciiTheme="minorHAnsi" w:hAnsiTheme="minorHAnsi" w:cstheme="minorHAnsi"/>
        </w:rPr>
        <w:t>Delivery Pl</w:t>
      </w:r>
      <w:r w:rsidRPr="00790EF8">
        <w:rPr>
          <w:rFonts w:asciiTheme="minorHAnsi" w:hAnsiTheme="minorHAnsi" w:cstheme="minorHAnsi"/>
        </w:rPr>
        <w:t>an</w:t>
      </w:r>
      <w:r w:rsidR="0098395C">
        <w:rPr>
          <w:rFonts w:asciiTheme="minorHAnsi" w:hAnsiTheme="minorHAnsi" w:cstheme="minorHAnsi"/>
        </w:rPr>
        <w:t xml:space="preserve"> (Welsh Government, 2019)</w:t>
      </w:r>
      <w:r w:rsidRPr="00790EF8">
        <w:rPr>
          <w:rFonts w:asciiTheme="minorHAnsi" w:hAnsiTheme="minorHAnsi" w:cstheme="minorHAnsi"/>
        </w:rPr>
        <w:t>.  Giv</w:t>
      </w:r>
      <w:r w:rsidR="00E2718F">
        <w:rPr>
          <w:rFonts w:asciiTheme="minorHAnsi" w:hAnsiTheme="minorHAnsi" w:cstheme="minorHAnsi"/>
        </w:rPr>
        <w:t>en</w:t>
      </w:r>
      <w:r w:rsidRPr="00790EF8">
        <w:rPr>
          <w:rFonts w:asciiTheme="minorHAnsi" w:hAnsiTheme="minorHAnsi" w:cstheme="minorHAnsi"/>
        </w:rPr>
        <w:t xml:space="preserve"> our growing evidence in this area and learning from other nations who have invested in speech and language therapy posts in mental health services, we would wish to see mention of unmet needs in this area and proposed actions. </w:t>
      </w:r>
    </w:p>
    <w:p w14:paraId="67E7838E" w14:textId="77777777" w:rsidR="00E9221E" w:rsidRPr="00790EF8" w:rsidRDefault="00E9221E" w:rsidP="00E9221E">
      <w:pPr>
        <w:pStyle w:val="ydpf42a50a8msolistparagraph"/>
        <w:ind w:left="1145"/>
        <w:rPr>
          <w:rFonts w:asciiTheme="minorHAnsi" w:hAnsiTheme="minorHAnsi" w:cstheme="minorHAnsi"/>
        </w:rPr>
      </w:pPr>
    </w:p>
    <w:p w14:paraId="3507C8DA" w14:textId="13C1D3CE" w:rsidR="00E9221E" w:rsidRPr="00790EF8" w:rsidRDefault="00781D04" w:rsidP="00E9221E">
      <w:pPr>
        <w:pStyle w:val="ydpf42a50a8msolistparagraph"/>
        <w:numPr>
          <w:ilvl w:val="0"/>
          <w:numId w:val="3"/>
        </w:numPr>
        <w:rPr>
          <w:rFonts w:asciiTheme="minorHAnsi" w:hAnsiTheme="minorHAnsi" w:cstheme="minorHAnsi"/>
        </w:rPr>
      </w:pPr>
      <w:r w:rsidRPr="00790EF8">
        <w:rPr>
          <w:rFonts w:asciiTheme="minorHAnsi" w:hAnsiTheme="minorHAnsi" w:cstheme="minorHAnsi"/>
        </w:rPr>
        <w:t xml:space="preserve">More broadly, we feel there are also opportunities within the workforce plan to </w:t>
      </w:r>
      <w:proofErr w:type="gramStart"/>
      <w:r w:rsidR="00D65747" w:rsidRPr="00790EF8">
        <w:rPr>
          <w:rFonts w:asciiTheme="minorHAnsi" w:hAnsiTheme="minorHAnsi" w:cstheme="minorHAnsi"/>
        </w:rPr>
        <w:t>give greater consideration to</w:t>
      </w:r>
      <w:proofErr w:type="gramEnd"/>
      <w:r w:rsidR="00D65747" w:rsidRPr="00790EF8">
        <w:rPr>
          <w:rFonts w:asciiTheme="minorHAnsi" w:hAnsiTheme="minorHAnsi" w:cstheme="minorHAnsi"/>
        </w:rPr>
        <w:t xml:space="preserve"> the different levels of support required as part of a national approach to mental health rather than mental illness.  For example, roles linked to </w:t>
      </w:r>
      <w:r w:rsidR="00460024">
        <w:rPr>
          <w:rFonts w:asciiTheme="minorHAnsi" w:hAnsiTheme="minorHAnsi" w:cstheme="minorHAnsi"/>
        </w:rPr>
        <w:t>primary care</w:t>
      </w:r>
      <w:r w:rsidR="00D65747" w:rsidRPr="00790EF8">
        <w:rPr>
          <w:rFonts w:asciiTheme="minorHAnsi" w:hAnsiTheme="minorHAnsi" w:cstheme="minorHAnsi"/>
        </w:rPr>
        <w:t xml:space="preserve"> </w:t>
      </w:r>
      <w:r w:rsidR="00460024">
        <w:rPr>
          <w:rFonts w:asciiTheme="minorHAnsi" w:hAnsiTheme="minorHAnsi" w:cstheme="minorHAnsi"/>
        </w:rPr>
        <w:t>clusters</w:t>
      </w:r>
      <w:r w:rsidR="00D65747" w:rsidRPr="00790EF8">
        <w:rPr>
          <w:rFonts w:asciiTheme="minorHAnsi" w:hAnsiTheme="minorHAnsi" w:cstheme="minorHAnsi"/>
        </w:rPr>
        <w:t xml:space="preserve"> in conjunction with the third sector </w:t>
      </w:r>
      <w:r w:rsidR="00E9221E" w:rsidRPr="00790EF8">
        <w:rPr>
          <w:rFonts w:asciiTheme="minorHAnsi" w:hAnsiTheme="minorHAnsi" w:cstheme="minorHAnsi"/>
        </w:rPr>
        <w:t xml:space="preserve">and </w:t>
      </w:r>
      <w:r w:rsidR="00D65747" w:rsidRPr="00790EF8">
        <w:rPr>
          <w:rFonts w:asciiTheme="minorHAnsi" w:hAnsiTheme="minorHAnsi" w:cstheme="minorHAnsi"/>
        </w:rPr>
        <w:t>better linkages to peer support</w:t>
      </w:r>
      <w:r w:rsidR="00E9221E" w:rsidRPr="00790EF8">
        <w:rPr>
          <w:rFonts w:asciiTheme="minorHAnsi" w:hAnsiTheme="minorHAnsi" w:cstheme="minorHAnsi"/>
        </w:rPr>
        <w:t>, exploration of the innate health approach</w:t>
      </w:r>
      <w:r w:rsidR="00D65747" w:rsidRPr="00790EF8">
        <w:rPr>
          <w:rFonts w:asciiTheme="minorHAnsi" w:hAnsiTheme="minorHAnsi" w:cstheme="minorHAnsi"/>
        </w:rPr>
        <w:t xml:space="preserve">.  </w:t>
      </w:r>
      <w:r w:rsidRPr="00790EF8">
        <w:rPr>
          <w:rFonts w:asciiTheme="minorHAnsi" w:hAnsiTheme="minorHAnsi" w:cstheme="minorHAnsi"/>
        </w:rPr>
        <w:t xml:space="preserve">Our members </w:t>
      </w:r>
      <w:r w:rsidR="00D65747" w:rsidRPr="00790EF8">
        <w:rPr>
          <w:rFonts w:asciiTheme="minorHAnsi" w:hAnsiTheme="minorHAnsi" w:cstheme="minorHAnsi"/>
        </w:rPr>
        <w:t xml:space="preserve">also </w:t>
      </w:r>
      <w:r w:rsidRPr="00790EF8">
        <w:rPr>
          <w:rFonts w:asciiTheme="minorHAnsi" w:hAnsiTheme="minorHAnsi" w:cstheme="minorHAnsi"/>
        </w:rPr>
        <w:t>suggest thinking beyond a </w:t>
      </w:r>
      <w:r w:rsidR="00460024">
        <w:rPr>
          <w:rFonts w:asciiTheme="minorHAnsi" w:hAnsiTheme="minorHAnsi" w:cstheme="minorHAnsi"/>
        </w:rPr>
        <w:t xml:space="preserve">broad </w:t>
      </w:r>
      <w:r w:rsidRPr="00790EF8">
        <w:rPr>
          <w:rFonts w:asciiTheme="minorHAnsi" w:hAnsiTheme="minorHAnsi" w:cstheme="minorHAnsi"/>
        </w:rPr>
        <w:t xml:space="preserve">level 1 mental health aid </w:t>
      </w:r>
      <w:r w:rsidR="00C31FFE" w:rsidRPr="00790EF8">
        <w:rPr>
          <w:rFonts w:asciiTheme="minorHAnsi" w:hAnsiTheme="minorHAnsi" w:cstheme="minorHAnsi"/>
        </w:rPr>
        <w:t xml:space="preserve">approach </w:t>
      </w:r>
      <w:r w:rsidRPr="00790EF8">
        <w:rPr>
          <w:rFonts w:asciiTheme="minorHAnsi" w:hAnsiTheme="minorHAnsi" w:cstheme="minorHAnsi"/>
        </w:rPr>
        <w:t xml:space="preserve">to what further support may be offered by </w:t>
      </w:r>
      <w:r w:rsidR="00D65747" w:rsidRPr="00790EF8">
        <w:rPr>
          <w:rFonts w:asciiTheme="minorHAnsi" w:hAnsiTheme="minorHAnsi" w:cstheme="minorHAnsi"/>
        </w:rPr>
        <w:t xml:space="preserve">certain </w:t>
      </w:r>
      <w:r w:rsidRPr="00790EF8">
        <w:rPr>
          <w:rFonts w:asciiTheme="minorHAnsi" w:hAnsiTheme="minorHAnsi" w:cstheme="minorHAnsi"/>
        </w:rPr>
        <w:t xml:space="preserve">health care professionals.  This approach would enable the breaking down of siloes between mental and physical health and would also require targets for local health boards around redesign of services within </w:t>
      </w:r>
      <w:r w:rsidR="00790EF8" w:rsidRPr="00790EF8">
        <w:rPr>
          <w:rFonts w:asciiTheme="minorHAnsi" w:hAnsiTheme="minorHAnsi" w:cstheme="minorHAnsi"/>
        </w:rPr>
        <w:t>national integrated medium-term plans (IMTPs)</w:t>
      </w:r>
      <w:r w:rsidRPr="00790EF8">
        <w:rPr>
          <w:rFonts w:asciiTheme="minorHAnsi" w:hAnsiTheme="minorHAnsi" w:cstheme="minorHAnsi"/>
        </w:rPr>
        <w:t xml:space="preserve">.  </w:t>
      </w:r>
    </w:p>
    <w:p w14:paraId="06B12CAA" w14:textId="77777777" w:rsidR="00E9221E" w:rsidRPr="00790EF8" w:rsidRDefault="00E9221E" w:rsidP="00E9221E">
      <w:pPr>
        <w:pStyle w:val="ListParagraph"/>
        <w:rPr>
          <w:rFonts w:asciiTheme="minorHAnsi" w:hAnsiTheme="minorHAnsi" w:cstheme="minorHAnsi"/>
        </w:rPr>
      </w:pPr>
    </w:p>
    <w:p w14:paraId="66C8322B" w14:textId="554A9E25" w:rsidR="00E9221E" w:rsidRPr="00790EF8" w:rsidRDefault="00781D04" w:rsidP="00E9221E">
      <w:pPr>
        <w:pStyle w:val="ydpf42a50a8msolistparagraph"/>
        <w:numPr>
          <w:ilvl w:val="0"/>
          <w:numId w:val="3"/>
        </w:numPr>
        <w:rPr>
          <w:rFonts w:asciiTheme="minorHAnsi" w:hAnsiTheme="minorHAnsi" w:cstheme="minorHAnsi"/>
        </w:rPr>
      </w:pPr>
      <w:r w:rsidRPr="00790EF8">
        <w:rPr>
          <w:rFonts w:asciiTheme="minorHAnsi" w:hAnsiTheme="minorHAnsi" w:cstheme="minorHAnsi"/>
        </w:rPr>
        <w:t xml:space="preserve">Paucity of data collection is also a key issue in relation to health inequalities which requires further attention within the workforce plan and the forthcoming updated Together for Mental Health delivery plan.  Information from </w:t>
      </w:r>
      <w:r w:rsidR="00790EF8" w:rsidRPr="00790EF8">
        <w:rPr>
          <w:rFonts w:asciiTheme="minorHAnsi" w:hAnsiTheme="minorHAnsi" w:cstheme="minorHAnsi"/>
        </w:rPr>
        <w:t xml:space="preserve">the </w:t>
      </w:r>
      <w:r w:rsidR="0034330F" w:rsidRPr="00790EF8">
        <w:rPr>
          <w:rFonts w:asciiTheme="minorHAnsi" w:hAnsiTheme="minorHAnsi" w:cstheme="minorHAnsi"/>
        </w:rPr>
        <w:t xml:space="preserve">NHS </w:t>
      </w:r>
      <w:r w:rsidR="00D65747" w:rsidRPr="00790EF8">
        <w:rPr>
          <w:rFonts w:asciiTheme="minorHAnsi" w:hAnsiTheme="minorHAnsi" w:cstheme="minorHAnsi"/>
        </w:rPr>
        <w:t xml:space="preserve">electronic staff </w:t>
      </w:r>
      <w:proofErr w:type="gramStart"/>
      <w:r w:rsidR="00D65747" w:rsidRPr="00790EF8">
        <w:rPr>
          <w:rFonts w:asciiTheme="minorHAnsi" w:hAnsiTheme="minorHAnsi" w:cstheme="minorHAnsi"/>
        </w:rPr>
        <w:lastRenderedPageBreak/>
        <w:t>record</w:t>
      </w:r>
      <w:proofErr w:type="gramEnd"/>
      <w:r w:rsidRPr="00790EF8">
        <w:rPr>
          <w:rFonts w:asciiTheme="minorHAnsi" w:hAnsiTheme="minorHAnsi" w:cstheme="minorHAnsi"/>
        </w:rPr>
        <w:t xml:space="preserve"> and vacancy rates will only provide us with intelligence about what workforce we currently have</w:t>
      </w:r>
      <w:r w:rsidR="0034330F" w:rsidRPr="00790EF8">
        <w:rPr>
          <w:rFonts w:asciiTheme="minorHAnsi" w:hAnsiTheme="minorHAnsi" w:cstheme="minorHAnsi"/>
        </w:rPr>
        <w:t xml:space="preserve"> and which may not indicate clinical work carried out depending on service structures and responsibilities</w:t>
      </w:r>
      <w:r w:rsidRPr="00790EF8">
        <w:rPr>
          <w:rFonts w:asciiTheme="minorHAnsi" w:hAnsiTheme="minorHAnsi" w:cstheme="minorHAnsi"/>
        </w:rPr>
        <w:t>.  We feel there is significant potential to look at data from local health boards on need – met, under</w:t>
      </w:r>
      <w:r w:rsidR="00D65747" w:rsidRPr="00790EF8">
        <w:rPr>
          <w:rFonts w:asciiTheme="minorHAnsi" w:hAnsiTheme="minorHAnsi" w:cstheme="minorHAnsi"/>
        </w:rPr>
        <w:t>-</w:t>
      </w:r>
      <w:r w:rsidRPr="00790EF8">
        <w:rPr>
          <w:rFonts w:asciiTheme="minorHAnsi" w:hAnsiTheme="minorHAnsi" w:cstheme="minorHAnsi"/>
        </w:rPr>
        <w:t xml:space="preserve">met and unmet to inform the development of the future workforce.  </w:t>
      </w:r>
    </w:p>
    <w:p w14:paraId="29398B91" w14:textId="77777777" w:rsidR="00E9221E" w:rsidRPr="00790EF8" w:rsidRDefault="00E9221E" w:rsidP="00E9221E">
      <w:pPr>
        <w:pStyle w:val="ListParagraph"/>
        <w:rPr>
          <w:rFonts w:asciiTheme="minorHAnsi" w:hAnsiTheme="minorHAnsi" w:cstheme="minorHAnsi"/>
        </w:rPr>
      </w:pPr>
    </w:p>
    <w:p w14:paraId="72AB6944" w14:textId="5CAFD450" w:rsidR="00E9221E" w:rsidRPr="00790EF8" w:rsidRDefault="00781D04" w:rsidP="00E9221E">
      <w:pPr>
        <w:pStyle w:val="ydpf42a50a8msolistparagraph"/>
        <w:numPr>
          <w:ilvl w:val="0"/>
          <w:numId w:val="3"/>
        </w:numPr>
        <w:rPr>
          <w:rFonts w:asciiTheme="minorHAnsi" w:hAnsiTheme="minorHAnsi" w:cstheme="minorHAnsi"/>
        </w:rPr>
      </w:pPr>
      <w:r w:rsidRPr="00790EF8">
        <w:rPr>
          <w:rFonts w:asciiTheme="minorHAnsi" w:hAnsiTheme="minorHAnsi" w:cstheme="minorHAnsi"/>
        </w:rPr>
        <w:t xml:space="preserve">In wider policy terms, we also feel it would be extremely helpful to re-consider the remit and membership of community mental health service </w:t>
      </w:r>
      <w:r w:rsidR="00790EF8" w:rsidRPr="00790EF8">
        <w:rPr>
          <w:rFonts w:asciiTheme="minorHAnsi" w:hAnsiTheme="minorHAnsi" w:cstheme="minorHAnsi"/>
        </w:rPr>
        <w:t xml:space="preserve">and in-patient service </w:t>
      </w:r>
      <w:r w:rsidRPr="00790EF8">
        <w:rPr>
          <w:rFonts w:asciiTheme="minorHAnsi" w:hAnsiTheme="minorHAnsi" w:cstheme="minorHAnsi"/>
        </w:rPr>
        <w:t xml:space="preserve">teams to better meet diverse needs.  Under current arrangements, we are aware that patients can often fall between the gaps and may not qualify for certain services due to their mental health conditions and other services due to their physical needs.  We have been provided with examples of people who have an acquired brain injury or functional neurological disorders who may face </w:t>
      </w:r>
      <w:proofErr w:type="gramStart"/>
      <w:r w:rsidRPr="00790EF8">
        <w:rPr>
          <w:rFonts w:asciiTheme="minorHAnsi" w:hAnsiTheme="minorHAnsi" w:cstheme="minorHAnsi"/>
        </w:rPr>
        <w:t>particular challenges</w:t>
      </w:r>
      <w:proofErr w:type="gramEnd"/>
      <w:r w:rsidRPr="00790EF8">
        <w:rPr>
          <w:rFonts w:asciiTheme="minorHAnsi" w:hAnsiTheme="minorHAnsi" w:cstheme="minorHAnsi"/>
        </w:rPr>
        <w:t xml:space="preserve"> and be referred out of area for support affecting subsequent community follow up.  We believe there may be significant potential to </w:t>
      </w:r>
      <w:r w:rsidR="00D65747" w:rsidRPr="00790EF8">
        <w:rPr>
          <w:rFonts w:asciiTheme="minorHAnsi" w:hAnsiTheme="minorHAnsi" w:cstheme="minorHAnsi"/>
        </w:rPr>
        <w:t xml:space="preserve">consider liaison roles to increase understanding between different services. </w:t>
      </w:r>
    </w:p>
    <w:p w14:paraId="5FCD949B" w14:textId="77777777" w:rsidR="00E9221E" w:rsidRPr="00790EF8" w:rsidRDefault="00E9221E" w:rsidP="00E9221E">
      <w:pPr>
        <w:pStyle w:val="ListParagraph"/>
        <w:rPr>
          <w:rFonts w:asciiTheme="minorHAnsi" w:hAnsiTheme="minorHAnsi" w:cstheme="minorHAnsi"/>
        </w:rPr>
      </w:pPr>
    </w:p>
    <w:p w14:paraId="6CCAE7F4" w14:textId="77777777" w:rsidR="00E9221E" w:rsidRPr="00790EF8" w:rsidRDefault="00E9221E" w:rsidP="00E9221E">
      <w:pPr>
        <w:pStyle w:val="ydpf42a50a8msonormal"/>
        <w:shd w:val="clear" w:color="auto" w:fill="FFFFFF"/>
        <w:spacing w:before="0" w:beforeAutospacing="0" w:after="0" w:afterAutospacing="0"/>
        <w:textAlignment w:val="baseline"/>
        <w:rPr>
          <w:rFonts w:asciiTheme="minorHAnsi" w:hAnsiTheme="minorHAnsi" w:cstheme="minorHAnsi"/>
          <w:b/>
          <w:bCs/>
        </w:rPr>
      </w:pPr>
      <w:r w:rsidRPr="00790EF8">
        <w:rPr>
          <w:rFonts w:asciiTheme="minorHAnsi" w:hAnsiTheme="minorHAnsi" w:cstheme="minorHAnsi"/>
          <w:b/>
          <w:bCs/>
        </w:rPr>
        <w:t>What further action is needed, by whom/where, to improve mental health and outcomes for the groups of people identified and reduce mental health inequalities in Wales?</w:t>
      </w:r>
    </w:p>
    <w:p w14:paraId="34F24AAB" w14:textId="163C1F00" w:rsidR="00E9221E" w:rsidRPr="00790EF8" w:rsidRDefault="00E9221E" w:rsidP="00E9221E">
      <w:pPr>
        <w:pStyle w:val="ydpf42a50a8msonormal"/>
        <w:shd w:val="clear" w:color="auto" w:fill="FFFFFF"/>
        <w:spacing w:before="0" w:beforeAutospacing="0" w:after="300" w:afterAutospacing="0"/>
        <w:rPr>
          <w:rFonts w:asciiTheme="minorHAnsi" w:eastAsia="Times New Roman" w:hAnsiTheme="minorHAnsi" w:cstheme="minorHAnsi"/>
        </w:rPr>
      </w:pPr>
      <w:r w:rsidRPr="00790EF8">
        <w:rPr>
          <w:rFonts w:asciiTheme="minorHAnsi" w:hAnsiTheme="minorHAnsi" w:cstheme="minorHAnsi"/>
        </w:rPr>
        <w:t> </w:t>
      </w:r>
    </w:p>
    <w:p w14:paraId="1E866EB8" w14:textId="0BADCFF4" w:rsidR="00743644" w:rsidRPr="00790EF8" w:rsidRDefault="00781D04" w:rsidP="00743644">
      <w:pPr>
        <w:pStyle w:val="ydpf42a50a8msolistparagraph"/>
        <w:numPr>
          <w:ilvl w:val="0"/>
          <w:numId w:val="3"/>
        </w:numPr>
        <w:rPr>
          <w:rFonts w:asciiTheme="minorHAnsi" w:hAnsiTheme="minorHAnsi" w:cstheme="minorHAnsi"/>
        </w:rPr>
      </w:pPr>
      <w:r w:rsidRPr="00790EF8">
        <w:rPr>
          <w:rFonts w:asciiTheme="minorHAnsi" w:eastAsia="Times New Roman" w:hAnsiTheme="minorHAnsi" w:cstheme="minorHAnsi"/>
        </w:rPr>
        <w:t xml:space="preserve">We have highlighted </w:t>
      </w:r>
      <w:r w:rsidR="000D0BC8" w:rsidRPr="00790EF8">
        <w:rPr>
          <w:rFonts w:asciiTheme="minorHAnsi" w:eastAsia="Times New Roman" w:hAnsiTheme="minorHAnsi" w:cstheme="minorHAnsi"/>
        </w:rPr>
        <w:t>several</w:t>
      </w:r>
      <w:r w:rsidRPr="00790EF8">
        <w:rPr>
          <w:rFonts w:asciiTheme="minorHAnsi" w:eastAsia="Times New Roman" w:hAnsiTheme="minorHAnsi" w:cstheme="minorHAnsi"/>
        </w:rPr>
        <w:t xml:space="preserve"> specific policy suggestions above but are very aware that mental health inequalities are multifactorial and will require action across </w:t>
      </w:r>
      <w:proofErr w:type="gramStart"/>
      <w:r w:rsidRPr="00790EF8">
        <w:rPr>
          <w:rFonts w:asciiTheme="minorHAnsi" w:eastAsia="Times New Roman" w:hAnsiTheme="minorHAnsi" w:cstheme="minorHAnsi"/>
        </w:rPr>
        <w:t>a number of</w:t>
      </w:r>
      <w:proofErr w:type="gramEnd"/>
      <w:r w:rsidRPr="00790EF8">
        <w:rPr>
          <w:rFonts w:asciiTheme="minorHAnsi" w:eastAsia="Times New Roman" w:hAnsiTheme="minorHAnsi" w:cstheme="minorHAnsi"/>
        </w:rPr>
        <w:t xml:space="preserve"> government departments.</w:t>
      </w:r>
      <w:r w:rsidR="00D65747" w:rsidRPr="00790EF8">
        <w:rPr>
          <w:rFonts w:asciiTheme="minorHAnsi" w:eastAsia="Times New Roman" w:hAnsiTheme="minorHAnsi" w:cstheme="minorHAnsi"/>
        </w:rPr>
        <w:t xml:space="preserve">  Whilst there remains a long way to go, we have seen significant process with regard to</w:t>
      </w:r>
      <w:r w:rsidR="00B53169" w:rsidRPr="00790EF8">
        <w:rPr>
          <w:rFonts w:asciiTheme="minorHAnsi" w:eastAsia="Times New Roman" w:hAnsiTheme="minorHAnsi" w:cstheme="minorHAnsi"/>
        </w:rPr>
        <w:t xml:space="preserve"> addressing</w:t>
      </w:r>
      <w:r w:rsidR="00D65747" w:rsidRPr="00790EF8">
        <w:rPr>
          <w:rFonts w:asciiTheme="minorHAnsi" w:eastAsia="Times New Roman" w:hAnsiTheme="minorHAnsi" w:cstheme="minorHAnsi"/>
        </w:rPr>
        <w:t xml:space="preserve"> speech, language and communication needs </w:t>
      </w:r>
      <w:r w:rsidR="00790EF8" w:rsidRPr="00790EF8">
        <w:rPr>
          <w:rFonts w:asciiTheme="minorHAnsi" w:eastAsia="Times New Roman" w:hAnsiTheme="minorHAnsi" w:cstheme="minorHAnsi"/>
        </w:rPr>
        <w:t xml:space="preserve">in the early years </w:t>
      </w:r>
      <w:r w:rsidR="00D65747" w:rsidRPr="00790EF8">
        <w:rPr>
          <w:rFonts w:asciiTheme="minorHAnsi" w:eastAsia="Times New Roman" w:hAnsiTheme="minorHAnsi" w:cstheme="minorHAnsi"/>
        </w:rPr>
        <w:t xml:space="preserve">since the publication of the cross-government </w:t>
      </w:r>
      <w:hyperlink r:id="rId10" w:history="1">
        <w:r w:rsidR="00D65747" w:rsidRPr="00790EF8">
          <w:rPr>
            <w:rStyle w:val="Hyperlink"/>
            <w:rFonts w:asciiTheme="minorHAnsi" w:eastAsia="Times New Roman" w:hAnsiTheme="minorHAnsi" w:cstheme="minorHAnsi"/>
            <w:color w:val="auto"/>
          </w:rPr>
          <w:t>Talk with Me Delivery Plan</w:t>
        </w:r>
      </w:hyperlink>
      <w:r w:rsidR="00D65747" w:rsidRPr="00790EF8">
        <w:rPr>
          <w:rFonts w:asciiTheme="minorHAnsi" w:eastAsia="Times New Roman" w:hAnsiTheme="minorHAnsi" w:cstheme="minorHAnsi"/>
        </w:rPr>
        <w:t xml:space="preserve"> as this has enabled discussions </w:t>
      </w:r>
      <w:r w:rsidR="00743644" w:rsidRPr="00790EF8">
        <w:rPr>
          <w:rFonts w:asciiTheme="minorHAnsi" w:eastAsia="Times New Roman" w:hAnsiTheme="minorHAnsi" w:cstheme="minorHAnsi"/>
        </w:rPr>
        <w:t xml:space="preserve">and </w:t>
      </w:r>
      <w:r w:rsidR="00D65747" w:rsidRPr="00790EF8">
        <w:rPr>
          <w:rFonts w:asciiTheme="minorHAnsi" w:eastAsia="Times New Roman" w:hAnsiTheme="minorHAnsi" w:cstheme="minorHAnsi"/>
        </w:rPr>
        <w:t>actions across education, poverty</w:t>
      </w:r>
      <w:r w:rsidR="00B53169" w:rsidRPr="00790EF8">
        <w:rPr>
          <w:rFonts w:asciiTheme="minorHAnsi" w:eastAsia="Times New Roman" w:hAnsiTheme="minorHAnsi" w:cstheme="minorHAnsi"/>
        </w:rPr>
        <w:t xml:space="preserve"> and a range of other areas.</w:t>
      </w:r>
      <w:r w:rsidR="00D65747" w:rsidRPr="00790EF8">
        <w:rPr>
          <w:rFonts w:asciiTheme="minorHAnsi" w:eastAsia="Times New Roman" w:hAnsiTheme="minorHAnsi" w:cstheme="minorHAnsi"/>
        </w:rPr>
        <w:t xml:space="preserve"> </w:t>
      </w:r>
      <w:r w:rsidRPr="00790EF8">
        <w:rPr>
          <w:rFonts w:asciiTheme="minorHAnsi" w:eastAsia="Times New Roman" w:hAnsiTheme="minorHAnsi" w:cstheme="minorHAnsi"/>
        </w:rPr>
        <w:t xml:space="preserve"> We join our colleagues at other royal colleges in calling for a cross-government approach to mental </w:t>
      </w:r>
      <w:r w:rsidR="00B53169" w:rsidRPr="00790EF8">
        <w:rPr>
          <w:rFonts w:asciiTheme="minorHAnsi" w:eastAsia="Times New Roman" w:hAnsiTheme="minorHAnsi" w:cstheme="minorHAnsi"/>
        </w:rPr>
        <w:t xml:space="preserve">health. </w:t>
      </w:r>
    </w:p>
    <w:p w14:paraId="3C931F71" w14:textId="732A187A" w:rsidR="00743644" w:rsidRPr="00790EF8" w:rsidRDefault="00743644" w:rsidP="00743644">
      <w:pPr>
        <w:pStyle w:val="ydpf42a50a8msolistparagraph"/>
        <w:ind w:left="1145"/>
        <w:rPr>
          <w:rFonts w:asciiTheme="minorHAnsi" w:eastAsia="Times New Roman" w:hAnsiTheme="minorHAnsi" w:cstheme="minorHAnsi"/>
        </w:rPr>
      </w:pPr>
    </w:p>
    <w:p w14:paraId="30F9E5C6" w14:textId="164FF8DD" w:rsidR="00743644" w:rsidRPr="00790EF8" w:rsidRDefault="00743644" w:rsidP="00743644">
      <w:pPr>
        <w:pStyle w:val="ydpf42a50a8msolistparagraph"/>
        <w:rPr>
          <w:rFonts w:asciiTheme="minorHAnsi" w:hAnsiTheme="minorHAnsi" w:cstheme="minorHAnsi"/>
          <w:b/>
          <w:bCs/>
          <w:u w:val="single"/>
        </w:rPr>
      </w:pPr>
      <w:r w:rsidRPr="00790EF8">
        <w:rPr>
          <w:rFonts w:asciiTheme="minorHAnsi" w:hAnsiTheme="minorHAnsi" w:cstheme="minorHAnsi"/>
          <w:b/>
          <w:bCs/>
          <w:u w:val="single"/>
        </w:rPr>
        <w:t>Further information</w:t>
      </w:r>
    </w:p>
    <w:p w14:paraId="150AE9C4" w14:textId="77777777" w:rsidR="00743644" w:rsidRPr="00790EF8" w:rsidRDefault="00743644" w:rsidP="00743644">
      <w:pPr>
        <w:pStyle w:val="ydpf42a50a8msolistparagraph"/>
        <w:rPr>
          <w:rFonts w:asciiTheme="minorHAnsi" w:hAnsiTheme="minorHAnsi" w:cstheme="minorHAnsi"/>
        </w:rPr>
      </w:pPr>
    </w:p>
    <w:p w14:paraId="231547D3" w14:textId="2E902B93" w:rsidR="00743644" w:rsidRPr="00790EF8" w:rsidRDefault="00743644" w:rsidP="00743644">
      <w:pPr>
        <w:pStyle w:val="ydpf42a50a8msolistparagraph"/>
        <w:numPr>
          <w:ilvl w:val="0"/>
          <w:numId w:val="3"/>
        </w:numPr>
        <w:rPr>
          <w:rFonts w:asciiTheme="minorHAnsi" w:hAnsiTheme="minorHAnsi" w:cstheme="minorHAnsi"/>
        </w:rPr>
      </w:pPr>
      <w:r w:rsidRPr="00790EF8">
        <w:rPr>
          <w:rFonts w:asciiTheme="minorHAnsi" w:hAnsiTheme="minorHAnsi" w:cstheme="minorHAnsi"/>
        </w:rPr>
        <w:t>We hope this paper will be helpful in supporting the committee discussions around</w:t>
      </w:r>
      <w:r w:rsidR="00E52EAD" w:rsidRPr="00790EF8">
        <w:rPr>
          <w:rFonts w:asciiTheme="minorHAnsi" w:hAnsiTheme="minorHAnsi" w:cstheme="minorHAnsi"/>
        </w:rPr>
        <w:t xml:space="preserve"> </w:t>
      </w:r>
      <w:r w:rsidR="00FC6C9A" w:rsidRPr="00790EF8">
        <w:rPr>
          <w:rFonts w:asciiTheme="minorHAnsi" w:hAnsiTheme="minorHAnsi" w:cstheme="minorHAnsi"/>
        </w:rPr>
        <w:t xml:space="preserve">mental health inequalities. </w:t>
      </w:r>
      <w:r w:rsidRPr="00790EF8">
        <w:rPr>
          <w:rFonts w:asciiTheme="minorHAnsi" w:hAnsiTheme="minorHAnsi" w:cstheme="minorHAnsi"/>
        </w:rPr>
        <w:t xml:space="preserve"> We would be happy to provide further information if this would be of benefit.  Please see below our contact details.</w:t>
      </w:r>
    </w:p>
    <w:p w14:paraId="0271206E" w14:textId="77777777" w:rsidR="00743644" w:rsidRPr="00790EF8" w:rsidRDefault="00743644" w:rsidP="00743644">
      <w:pPr>
        <w:pStyle w:val="NormalWeb"/>
        <w:ind w:left="785"/>
        <w:rPr>
          <w:rFonts w:asciiTheme="minorHAnsi" w:hAnsiTheme="minorHAnsi" w:cstheme="minorHAnsi"/>
        </w:rPr>
      </w:pPr>
    </w:p>
    <w:p w14:paraId="48F5C6F8" w14:textId="77777777" w:rsidR="00743644" w:rsidRPr="00790EF8" w:rsidRDefault="00743644" w:rsidP="00743644">
      <w:pPr>
        <w:shd w:val="clear" w:color="auto" w:fill="FFFFFF"/>
        <w:rPr>
          <w:rFonts w:asciiTheme="minorHAnsi" w:hAnsiTheme="minorHAnsi" w:cstheme="minorHAnsi"/>
          <w:b/>
        </w:rPr>
      </w:pPr>
      <w:r w:rsidRPr="00790EF8">
        <w:rPr>
          <w:rFonts w:asciiTheme="minorHAnsi" w:hAnsiTheme="minorHAnsi" w:cstheme="minorHAnsi"/>
          <w:b/>
        </w:rPr>
        <w:t>Pippa Cotterill, Head of Wales Office, Royal College of Speech and Language Therapists</w:t>
      </w:r>
    </w:p>
    <w:p w14:paraId="17DEFBFA" w14:textId="77777777" w:rsidR="00743644" w:rsidRPr="00790EF8" w:rsidRDefault="005E66BB" w:rsidP="00743644">
      <w:pPr>
        <w:shd w:val="clear" w:color="auto" w:fill="FFFFFF"/>
        <w:spacing w:after="100" w:afterAutospacing="1"/>
        <w:rPr>
          <w:rStyle w:val="Hyperlink"/>
          <w:rFonts w:asciiTheme="minorHAnsi" w:hAnsiTheme="minorHAnsi" w:cstheme="minorHAnsi"/>
          <w:b/>
          <w:color w:val="auto"/>
        </w:rPr>
      </w:pPr>
      <w:hyperlink r:id="rId11" w:history="1">
        <w:r w:rsidR="00743644" w:rsidRPr="00790EF8">
          <w:rPr>
            <w:rStyle w:val="Hyperlink"/>
            <w:rFonts w:asciiTheme="minorHAnsi" w:hAnsiTheme="minorHAnsi" w:cstheme="minorHAnsi"/>
            <w:b/>
            <w:color w:val="auto"/>
          </w:rPr>
          <w:t>Philippa.cotterill@rcslt.org</w:t>
        </w:r>
      </w:hyperlink>
    </w:p>
    <w:p w14:paraId="6075752B" w14:textId="74E4B7FC" w:rsidR="00743644" w:rsidRPr="00790EF8" w:rsidRDefault="00FC6C9A" w:rsidP="00743644">
      <w:pPr>
        <w:shd w:val="clear" w:color="auto" w:fill="FFFFFF"/>
        <w:rPr>
          <w:rFonts w:asciiTheme="minorHAnsi" w:hAnsiTheme="minorHAnsi" w:cstheme="minorHAnsi"/>
          <w:b/>
        </w:rPr>
      </w:pPr>
      <w:proofErr w:type="spellStart"/>
      <w:r w:rsidRPr="00790EF8">
        <w:rPr>
          <w:rFonts w:asciiTheme="minorHAnsi" w:hAnsiTheme="minorHAnsi" w:cstheme="minorHAnsi"/>
          <w:b/>
        </w:rPr>
        <w:t>Dr.</w:t>
      </w:r>
      <w:proofErr w:type="spellEnd"/>
      <w:r w:rsidRPr="00790EF8">
        <w:rPr>
          <w:rFonts w:asciiTheme="minorHAnsi" w:hAnsiTheme="minorHAnsi" w:cstheme="minorHAnsi"/>
          <w:b/>
        </w:rPr>
        <w:t xml:space="preserve"> Caroline Walters</w:t>
      </w:r>
      <w:r w:rsidR="00743644" w:rsidRPr="00790EF8">
        <w:rPr>
          <w:rFonts w:asciiTheme="minorHAnsi" w:hAnsiTheme="minorHAnsi" w:cstheme="minorHAnsi"/>
          <w:b/>
        </w:rPr>
        <w:t xml:space="preserve">, External Affairs </w:t>
      </w:r>
      <w:r w:rsidRPr="00790EF8">
        <w:rPr>
          <w:rFonts w:asciiTheme="minorHAnsi" w:hAnsiTheme="minorHAnsi" w:cstheme="minorHAnsi"/>
          <w:b/>
        </w:rPr>
        <w:t xml:space="preserve">Manager </w:t>
      </w:r>
      <w:r w:rsidR="00743644" w:rsidRPr="00790EF8">
        <w:rPr>
          <w:rFonts w:asciiTheme="minorHAnsi" w:hAnsiTheme="minorHAnsi" w:cstheme="minorHAnsi"/>
          <w:b/>
        </w:rPr>
        <w:t>(Wales), Royal College of Speech and Language Therapists</w:t>
      </w:r>
    </w:p>
    <w:p w14:paraId="151CDA2D" w14:textId="716EF5D7" w:rsidR="00743644" w:rsidRDefault="005E66BB" w:rsidP="00743644">
      <w:pPr>
        <w:shd w:val="clear" w:color="auto" w:fill="FFFFFF"/>
        <w:rPr>
          <w:rFonts w:asciiTheme="minorHAnsi" w:hAnsiTheme="minorHAnsi" w:cstheme="minorHAnsi"/>
          <w:b/>
          <w:bCs/>
        </w:rPr>
      </w:pPr>
      <w:hyperlink r:id="rId12" w:history="1">
        <w:r w:rsidR="0098395C" w:rsidRPr="007E6979">
          <w:rPr>
            <w:rStyle w:val="Hyperlink"/>
            <w:rFonts w:asciiTheme="minorHAnsi" w:hAnsiTheme="minorHAnsi" w:cstheme="minorHAnsi"/>
            <w:b/>
            <w:bCs/>
          </w:rPr>
          <w:t>caroline.walters@rcslt.org</w:t>
        </w:r>
      </w:hyperlink>
    </w:p>
    <w:p w14:paraId="0EEAA4E0" w14:textId="77777777" w:rsidR="00743644" w:rsidRPr="00790EF8" w:rsidRDefault="00743644" w:rsidP="00743644">
      <w:pPr>
        <w:rPr>
          <w:rFonts w:asciiTheme="minorHAnsi" w:hAnsiTheme="minorHAnsi" w:cstheme="minorHAnsi"/>
          <w:lang w:val="en-US"/>
        </w:rPr>
      </w:pPr>
    </w:p>
    <w:p w14:paraId="5AC3E583" w14:textId="77777777" w:rsidR="00743644" w:rsidRPr="00790EF8" w:rsidRDefault="00743644" w:rsidP="00743644">
      <w:pPr>
        <w:rPr>
          <w:rFonts w:asciiTheme="minorHAnsi" w:hAnsiTheme="minorHAnsi" w:cstheme="minorHAnsi"/>
          <w:b/>
          <w:bCs/>
          <w:u w:val="single"/>
          <w:lang w:val="en-US"/>
        </w:rPr>
      </w:pPr>
      <w:r w:rsidRPr="00790EF8">
        <w:rPr>
          <w:rFonts w:asciiTheme="minorHAnsi" w:hAnsiTheme="minorHAnsi" w:cstheme="minorHAnsi"/>
          <w:b/>
          <w:bCs/>
          <w:u w:val="single"/>
          <w:lang w:val="en-US"/>
        </w:rPr>
        <w:t xml:space="preserve">Confirmation </w:t>
      </w:r>
    </w:p>
    <w:p w14:paraId="2848BF03" w14:textId="77777777" w:rsidR="00743644" w:rsidRPr="00790EF8" w:rsidRDefault="00743644" w:rsidP="00743644">
      <w:pPr>
        <w:rPr>
          <w:rFonts w:asciiTheme="minorHAnsi" w:hAnsiTheme="minorHAnsi" w:cstheme="minorHAnsi"/>
          <w:b/>
          <w:bCs/>
          <w:u w:val="single"/>
          <w:lang w:val="en-US"/>
        </w:rPr>
      </w:pPr>
      <w:r w:rsidRPr="00790EF8">
        <w:rPr>
          <w:rFonts w:asciiTheme="minorHAnsi" w:hAnsiTheme="minorHAnsi" w:cstheme="minorHAnsi"/>
          <w:lang w:val="en-US"/>
        </w:rPr>
        <w:t>This response is submitted on behalf of The Royal College of Speech and Language Therapists in Wales.  We confirm that we are happy for this response to be made public.</w:t>
      </w:r>
    </w:p>
    <w:p w14:paraId="3B922FEB" w14:textId="65EC5174" w:rsidR="00477673" w:rsidRDefault="00477673">
      <w:pPr>
        <w:spacing w:after="160" w:line="259" w:lineRule="auto"/>
        <w:rPr>
          <w:rFonts w:asciiTheme="minorHAnsi" w:hAnsiTheme="minorHAnsi" w:cstheme="minorHAnsi"/>
        </w:rPr>
      </w:pPr>
      <w:r>
        <w:rPr>
          <w:rFonts w:asciiTheme="minorHAnsi" w:hAnsiTheme="minorHAnsi" w:cstheme="minorHAnsi"/>
        </w:rPr>
        <w:br w:type="page"/>
      </w:r>
    </w:p>
    <w:p w14:paraId="35FDB1D2" w14:textId="77777777" w:rsidR="00781D04" w:rsidRDefault="00781D04" w:rsidP="00781D04">
      <w:pPr>
        <w:rPr>
          <w:rFonts w:asciiTheme="minorHAnsi" w:hAnsiTheme="minorHAnsi" w:cstheme="minorHAnsi"/>
        </w:rPr>
      </w:pPr>
    </w:p>
    <w:p w14:paraId="40CD6B99" w14:textId="4929E8CF" w:rsidR="0098395C" w:rsidRPr="003D0430" w:rsidRDefault="0098395C" w:rsidP="00781D04">
      <w:pPr>
        <w:rPr>
          <w:rFonts w:asciiTheme="minorHAnsi" w:hAnsiTheme="minorHAnsi" w:cstheme="minorHAnsi"/>
          <w:b/>
          <w:bCs/>
          <w:sz w:val="22"/>
          <w:szCs w:val="22"/>
          <w:u w:val="single"/>
        </w:rPr>
      </w:pPr>
      <w:r w:rsidRPr="003D0430">
        <w:rPr>
          <w:rFonts w:asciiTheme="minorHAnsi" w:hAnsiTheme="minorHAnsi" w:cstheme="minorHAnsi"/>
          <w:b/>
          <w:bCs/>
          <w:sz w:val="22"/>
          <w:szCs w:val="22"/>
          <w:u w:val="single"/>
        </w:rPr>
        <w:t>References</w:t>
      </w:r>
    </w:p>
    <w:p w14:paraId="72451512" w14:textId="5FDCF73D" w:rsidR="00781D04" w:rsidRPr="003D0430" w:rsidRDefault="00781D04" w:rsidP="00781D04">
      <w:pPr>
        <w:rPr>
          <w:rFonts w:asciiTheme="minorHAnsi" w:hAnsiTheme="minorHAnsi" w:cstheme="minorHAnsi"/>
          <w:sz w:val="22"/>
          <w:szCs w:val="22"/>
        </w:rPr>
      </w:pPr>
    </w:p>
    <w:p w14:paraId="5E4A211A" w14:textId="77777777" w:rsidR="00350039" w:rsidRPr="003D0430" w:rsidRDefault="00350039" w:rsidP="00350039">
      <w:pPr>
        <w:rPr>
          <w:rFonts w:asciiTheme="minorHAnsi" w:hAnsiTheme="minorHAnsi" w:cstheme="minorHAnsi"/>
          <w:sz w:val="22"/>
          <w:szCs w:val="22"/>
        </w:rPr>
      </w:pPr>
      <w:proofErr w:type="spellStart"/>
      <w:r w:rsidRPr="003D0430">
        <w:rPr>
          <w:rFonts w:asciiTheme="minorHAnsi" w:hAnsiTheme="minorHAnsi" w:cstheme="minorHAnsi"/>
          <w:sz w:val="22"/>
          <w:szCs w:val="22"/>
        </w:rPr>
        <w:t>Beitchman</w:t>
      </w:r>
      <w:proofErr w:type="spellEnd"/>
      <w:r w:rsidRPr="003D0430">
        <w:rPr>
          <w:rFonts w:asciiTheme="minorHAnsi" w:hAnsiTheme="minorHAnsi" w:cstheme="minorHAnsi"/>
          <w:sz w:val="22"/>
          <w:szCs w:val="22"/>
        </w:rPr>
        <w:t xml:space="preserve">, J., Wilson, B., Johnson, C., Young, A., Atkinson, L., Escobar, M. &amp; Taback, N. (2001). </w:t>
      </w:r>
      <w:proofErr w:type="gramStart"/>
      <w:r w:rsidRPr="003D0430">
        <w:rPr>
          <w:rFonts w:asciiTheme="minorHAnsi" w:hAnsiTheme="minorHAnsi" w:cstheme="minorHAnsi"/>
          <w:sz w:val="22"/>
          <w:szCs w:val="22"/>
        </w:rPr>
        <w:t>Fourteen year</w:t>
      </w:r>
      <w:proofErr w:type="gramEnd"/>
      <w:r w:rsidRPr="003D0430">
        <w:rPr>
          <w:rFonts w:asciiTheme="minorHAnsi" w:hAnsiTheme="minorHAnsi" w:cstheme="minorHAnsi"/>
          <w:sz w:val="22"/>
          <w:szCs w:val="22"/>
        </w:rPr>
        <w:t xml:space="preserve"> follow-up of speech/language-impaired and control children: Psychiatric outcome. Journal of the American Academy of Child and Adolescent Psychiatry, 40(1), 75-82. </w:t>
      </w:r>
      <w:proofErr w:type="spellStart"/>
      <w:r w:rsidRPr="003D0430">
        <w:rPr>
          <w:rFonts w:asciiTheme="minorHAnsi" w:hAnsiTheme="minorHAnsi" w:cstheme="minorHAnsi"/>
          <w:sz w:val="22"/>
          <w:szCs w:val="22"/>
        </w:rPr>
        <w:t>doi</w:t>
      </w:r>
      <w:proofErr w:type="spellEnd"/>
      <w:r w:rsidRPr="003D0430">
        <w:rPr>
          <w:rFonts w:asciiTheme="minorHAnsi" w:hAnsiTheme="minorHAnsi" w:cstheme="minorHAnsi"/>
          <w:sz w:val="22"/>
          <w:szCs w:val="22"/>
        </w:rPr>
        <w:t xml:space="preserve">: </w:t>
      </w:r>
      <w:hyperlink r:id="rId13" w:history="1">
        <w:r w:rsidRPr="003D0430">
          <w:rPr>
            <w:rStyle w:val="Hyperlink"/>
            <w:rFonts w:asciiTheme="minorHAnsi" w:hAnsiTheme="minorHAnsi" w:cstheme="minorHAnsi"/>
            <w:sz w:val="22"/>
            <w:szCs w:val="22"/>
          </w:rPr>
          <w:t>https://doi.org/10.1097/00004583-200101000-00019</w:t>
        </w:r>
      </w:hyperlink>
    </w:p>
    <w:p w14:paraId="5CE4C666" w14:textId="77777777" w:rsidR="00350039" w:rsidRPr="003D0430" w:rsidRDefault="00350039" w:rsidP="00350039">
      <w:pPr>
        <w:rPr>
          <w:rFonts w:asciiTheme="minorHAnsi" w:hAnsiTheme="minorHAnsi" w:cstheme="minorHAnsi"/>
          <w:sz w:val="22"/>
          <w:szCs w:val="22"/>
        </w:rPr>
      </w:pPr>
    </w:p>
    <w:p w14:paraId="4F9C1CBB" w14:textId="77777777" w:rsidR="00350039" w:rsidRPr="003D0430" w:rsidRDefault="00350039" w:rsidP="00350039">
      <w:pPr>
        <w:rPr>
          <w:rFonts w:asciiTheme="minorHAnsi" w:hAnsiTheme="minorHAnsi" w:cstheme="minorHAnsi"/>
          <w:sz w:val="22"/>
          <w:szCs w:val="22"/>
        </w:rPr>
      </w:pPr>
      <w:r w:rsidRPr="003D0430">
        <w:rPr>
          <w:rFonts w:asciiTheme="minorHAnsi" w:hAnsiTheme="minorHAnsi" w:cstheme="minorHAnsi"/>
          <w:sz w:val="22"/>
          <w:szCs w:val="22"/>
        </w:rPr>
        <w:t xml:space="preserve">Botting N., Durkin K., </w:t>
      </w:r>
      <w:proofErr w:type="spellStart"/>
      <w:r w:rsidRPr="003D0430">
        <w:rPr>
          <w:rFonts w:asciiTheme="minorHAnsi" w:hAnsiTheme="minorHAnsi" w:cstheme="minorHAnsi"/>
          <w:sz w:val="22"/>
          <w:szCs w:val="22"/>
        </w:rPr>
        <w:t>Toseeb</w:t>
      </w:r>
      <w:proofErr w:type="spellEnd"/>
      <w:r w:rsidRPr="003D0430">
        <w:rPr>
          <w:rFonts w:asciiTheme="minorHAnsi" w:hAnsiTheme="minorHAnsi" w:cstheme="minorHAnsi"/>
          <w:sz w:val="22"/>
          <w:szCs w:val="22"/>
        </w:rPr>
        <w:t xml:space="preserve"> U., Pickles A., &amp; Conti-Ramsden G. (2016). Emotional health, support, and self-efficacy in young adults with a history of language impairment. British Journal of Developmental Psychology, 34, 538–554. </w:t>
      </w:r>
      <w:proofErr w:type="spellStart"/>
      <w:r w:rsidRPr="003D0430">
        <w:rPr>
          <w:rFonts w:asciiTheme="minorHAnsi" w:hAnsiTheme="minorHAnsi" w:cstheme="minorHAnsi"/>
          <w:sz w:val="22"/>
          <w:szCs w:val="22"/>
        </w:rPr>
        <w:t>doi</w:t>
      </w:r>
      <w:proofErr w:type="spellEnd"/>
      <w:r w:rsidRPr="003D0430">
        <w:rPr>
          <w:rFonts w:asciiTheme="minorHAnsi" w:hAnsiTheme="minorHAnsi" w:cstheme="minorHAnsi"/>
          <w:sz w:val="22"/>
          <w:szCs w:val="22"/>
        </w:rPr>
        <w:t xml:space="preserve">: 10.1111/bjdp.12148 </w:t>
      </w:r>
    </w:p>
    <w:p w14:paraId="07EF28F6" w14:textId="77777777" w:rsidR="00350039" w:rsidRPr="003D0430" w:rsidRDefault="00350039" w:rsidP="00781D04">
      <w:pPr>
        <w:pStyle w:val="ydpf42a50a8msonormal"/>
        <w:spacing w:before="0" w:beforeAutospacing="0" w:after="0" w:afterAutospacing="0"/>
        <w:rPr>
          <w:rFonts w:ascii="Open Sans" w:hAnsi="Open Sans" w:cs="Open Sans"/>
          <w:color w:val="212529"/>
          <w:shd w:val="clear" w:color="auto" w:fill="FFFFFF"/>
        </w:rPr>
      </w:pPr>
    </w:p>
    <w:p w14:paraId="4E1140DA" w14:textId="7EB5D162" w:rsidR="00350039" w:rsidRDefault="00350039" w:rsidP="00350039">
      <w:pPr>
        <w:rPr>
          <w:rFonts w:asciiTheme="minorHAnsi" w:hAnsiTheme="minorHAnsi" w:cstheme="minorHAnsi"/>
          <w:sz w:val="22"/>
          <w:szCs w:val="22"/>
        </w:rPr>
      </w:pPr>
      <w:r w:rsidRPr="003D0430">
        <w:rPr>
          <w:rFonts w:asciiTheme="minorHAnsi" w:hAnsiTheme="minorHAnsi" w:cstheme="minorHAnsi"/>
          <w:sz w:val="22"/>
          <w:szCs w:val="22"/>
        </w:rPr>
        <w:t xml:space="preserve">Boudewyn, M., Carter, C., Long, D., Traxler, M., Lesh, T., Mangun, G., &amp; </w:t>
      </w:r>
      <w:proofErr w:type="spellStart"/>
      <w:r w:rsidRPr="003D0430">
        <w:rPr>
          <w:rFonts w:asciiTheme="minorHAnsi" w:hAnsiTheme="minorHAnsi" w:cstheme="minorHAnsi"/>
          <w:sz w:val="22"/>
          <w:szCs w:val="22"/>
        </w:rPr>
        <w:t>Swaab</w:t>
      </w:r>
      <w:proofErr w:type="spellEnd"/>
      <w:r w:rsidRPr="003D0430">
        <w:rPr>
          <w:rFonts w:asciiTheme="minorHAnsi" w:hAnsiTheme="minorHAnsi" w:cstheme="minorHAnsi"/>
          <w:sz w:val="22"/>
          <w:szCs w:val="22"/>
        </w:rPr>
        <w:t xml:space="preserve">, T. (2017). Language context processing deficits in schizophrenia: The role of attentional engagement. </w:t>
      </w:r>
      <w:proofErr w:type="spellStart"/>
      <w:r w:rsidRPr="003D0430">
        <w:rPr>
          <w:rFonts w:asciiTheme="minorHAnsi" w:hAnsiTheme="minorHAnsi" w:cstheme="minorHAnsi"/>
          <w:sz w:val="22"/>
          <w:szCs w:val="22"/>
        </w:rPr>
        <w:t>Neuropsychologia</w:t>
      </w:r>
      <w:proofErr w:type="spellEnd"/>
      <w:r w:rsidRPr="003D0430">
        <w:rPr>
          <w:rFonts w:asciiTheme="minorHAnsi" w:hAnsiTheme="minorHAnsi" w:cstheme="minorHAnsi"/>
          <w:sz w:val="22"/>
          <w:szCs w:val="22"/>
        </w:rPr>
        <w:t xml:space="preserve">, 96, 262-273. </w:t>
      </w:r>
      <w:proofErr w:type="spellStart"/>
      <w:r w:rsidRPr="003D0430">
        <w:rPr>
          <w:rFonts w:asciiTheme="minorHAnsi" w:hAnsiTheme="minorHAnsi" w:cstheme="minorHAnsi"/>
          <w:sz w:val="22"/>
          <w:szCs w:val="22"/>
        </w:rPr>
        <w:t>doi</w:t>
      </w:r>
      <w:proofErr w:type="spellEnd"/>
      <w:r w:rsidRPr="003D0430">
        <w:rPr>
          <w:rFonts w:asciiTheme="minorHAnsi" w:hAnsiTheme="minorHAnsi" w:cstheme="minorHAnsi"/>
          <w:sz w:val="22"/>
          <w:szCs w:val="22"/>
        </w:rPr>
        <w:t>: 10.1016/j.neuropsychologia.2017.01.024</w:t>
      </w:r>
    </w:p>
    <w:p w14:paraId="202E9C35" w14:textId="372B5D9E" w:rsidR="009372C3" w:rsidRDefault="009372C3" w:rsidP="00350039">
      <w:pPr>
        <w:rPr>
          <w:rFonts w:asciiTheme="minorHAnsi" w:hAnsiTheme="minorHAnsi" w:cstheme="minorHAnsi"/>
          <w:sz w:val="22"/>
          <w:szCs w:val="22"/>
        </w:rPr>
      </w:pPr>
    </w:p>
    <w:p w14:paraId="01955106" w14:textId="77777777" w:rsidR="00477673" w:rsidRPr="00477673" w:rsidRDefault="00477673" w:rsidP="00477673">
      <w:pPr>
        <w:pStyle w:val="FootnoteText"/>
        <w:rPr>
          <w:sz w:val="22"/>
          <w:szCs w:val="22"/>
        </w:rPr>
      </w:pPr>
      <w:r w:rsidRPr="00477673">
        <w:rPr>
          <w:sz w:val="22"/>
          <w:szCs w:val="22"/>
        </w:rPr>
        <w:t xml:space="preserve">Bryan K, Freer J, Furlong C (2007). Language and communication difficulties in juvenile offenders. </w:t>
      </w:r>
      <w:r w:rsidRPr="00477673">
        <w:rPr>
          <w:i/>
          <w:sz w:val="22"/>
          <w:szCs w:val="22"/>
        </w:rPr>
        <w:t>International Journal of Language and Communication Disorders</w:t>
      </w:r>
      <w:r w:rsidRPr="00477673">
        <w:rPr>
          <w:sz w:val="22"/>
          <w:szCs w:val="22"/>
        </w:rPr>
        <w:t>,42,505-520.</w:t>
      </w:r>
    </w:p>
    <w:p w14:paraId="524BA673" w14:textId="3B3D75C0" w:rsidR="0098395C" w:rsidRPr="003D0430" w:rsidRDefault="0098395C" w:rsidP="00350039">
      <w:pPr>
        <w:rPr>
          <w:rFonts w:asciiTheme="minorHAnsi" w:hAnsiTheme="minorHAnsi" w:cstheme="minorHAnsi"/>
          <w:sz w:val="22"/>
          <w:szCs w:val="22"/>
        </w:rPr>
      </w:pPr>
    </w:p>
    <w:p w14:paraId="62F8318D" w14:textId="07EA2792" w:rsidR="00350039" w:rsidRDefault="0098395C" w:rsidP="00222C36">
      <w:pPr>
        <w:pStyle w:val="ydpf42a50a8msoendnotetext"/>
        <w:rPr>
          <w:rFonts w:asciiTheme="minorHAnsi" w:hAnsiTheme="minorHAnsi" w:cstheme="minorHAnsi"/>
        </w:rPr>
      </w:pPr>
      <w:r w:rsidRPr="003D0430">
        <w:rPr>
          <w:rFonts w:asciiTheme="minorHAnsi" w:hAnsiTheme="minorHAnsi" w:cstheme="minorHAnsi"/>
        </w:rPr>
        <w:t xml:space="preserve">Clegg, J., Crawford, E., Spencer, S. and Matthews, D. (2021).  Developmental Language Disorder (DLD) in Young People Leaving Care in England: A Study Profiling the Language, Literacy and Communication Abilities of Young People Transitioning from Care to Independence. Int. J. Environ. Res. Public Health, 18, 4107. </w:t>
      </w:r>
      <w:hyperlink r:id="rId14" w:tgtFrame="_blank" w:history="1">
        <w:r w:rsidRPr="003D0430">
          <w:rPr>
            <w:rStyle w:val="Hyperlink"/>
            <w:rFonts w:asciiTheme="minorHAnsi" w:hAnsiTheme="minorHAnsi" w:cstheme="minorHAnsi"/>
            <w:color w:val="auto"/>
          </w:rPr>
          <w:t>https://doi.org/10.3390/ijerph18084107</w:t>
        </w:r>
      </w:hyperlink>
      <w:r w:rsidRPr="003D0430">
        <w:rPr>
          <w:rFonts w:asciiTheme="minorHAnsi" w:hAnsiTheme="minorHAnsi" w:cstheme="minorHAnsi"/>
        </w:rPr>
        <w:t xml:space="preserve"> </w:t>
      </w:r>
    </w:p>
    <w:p w14:paraId="3CFCBA7F" w14:textId="77777777" w:rsidR="00222C36" w:rsidRPr="003D0430" w:rsidRDefault="00222C36" w:rsidP="00222C36">
      <w:pPr>
        <w:pStyle w:val="ydpf42a50a8msoendnotetext"/>
        <w:rPr>
          <w:rFonts w:asciiTheme="minorHAnsi" w:hAnsiTheme="minorHAnsi" w:cstheme="minorHAnsi"/>
        </w:rPr>
      </w:pPr>
    </w:p>
    <w:p w14:paraId="6691E009" w14:textId="77777777" w:rsidR="00350039" w:rsidRPr="00222C36" w:rsidRDefault="00350039" w:rsidP="00222C36">
      <w:pPr>
        <w:rPr>
          <w:rFonts w:asciiTheme="minorHAnsi" w:hAnsiTheme="minorHAnsi" w:cstheme="minorHAnsi"/>
          <w:sz w:val="22"/>
          <w:szCs w:val="22"/>
        </w:rPr>
      </w:pPr>
      <w:r w:rsidRPr="003D0430">
        <w:rPr>
          <w:rFonts w:asciiTheme="minorHAnsi" w:hAnsiTheme="minorHAnsi" w:cstheme="minorHAnsi"/>
          <w:sz w:val="22"/>
          <w:szCs w:val="22"/>
        </w:rPr>
        <w:t xml:space="preserve">Colle, L., Angeleri, R., </w:t>
      </w:r>
      <w:proofErr w:type="spellStart"/>
      <w:r w:rsidRPr="003D0430">
        <w:rPr>
          <w:rFonts w:asciiTheme="minorHAnsi" w:hAnsiTheme="minorHAnsi" w:cstheme="minorHAnsi"/>
          <w:sz w:val="22"/>
          <w:szCs w:val="22"/>
        </w:rPr>
        <w:t>Vallana</w:t>
      </w:r>
      <w:proofErr w:type="spellEnd"/>
      <w:r w:rsidRPr="003D0430">
        <w:rPr>
          <w:rFonts w:asciiTheme="minorHAnsi" w:hAnsiTheme="minorHAnsi" w:cstheme="minorHAnsi"/>
          <w:sz w:val="22"/>
          <w:szCs w:val="22"/>
        </w:rPr>
        <w:t xml:space="preserve">, M., Sacco, K., Bara, G., &amp; Bosco, F. (2013). Understanding the communicative impairments in schizophrenia: a preliminary study. Journal of Communication </w:t>
      </w:r>
      <w:r w:rsidRPr="00222C36">
        <w:rPr>
          <w:rFonts w:asciiTheme="minorHAnsi" w:hAnsiTheme="minorHAnsi" w:cstheme="minorHAnsi"/>
          <w:sz w:val="22"/>
          <w:szCs w:val="22"/>
        </w:rPr>
        <w:t xml:space="preserve">Disorders, 46(3), 294-308. </w:t>
      </w:r>
      <w:proofErr w:type="spellStart"/>
      <w:r w:rsidRPr="00222C36">
        <w:rPr>
          <w:rFonts w:asciiTheme="minorHAnsi" w:hAnsiTheme="minorHAnsi" w:cstheme="minorHAnsi"/>
          <w:sz w:val="22"/>
          <w:szCs w:val="22"/>
        </w:rPr>
        <w:t>doi</w:t>
      </w:r>
      <w:proofErr w:type="spellEnd"/>
      <w:r w:rsidRPr="00222C36">
        <w:rPr>
          <w:rFonts w:asciiTheme="minorHAnsi" w:hAnsiTheme="minorHAnsi" w:cstheme="minorHAnsi"/>
          <w:sz w:val="22"/>
          <w:szCs w:val="22"/>
        </w:rPr>
        <w:t>: 10.1016/j.jcomdis.2013.01.003</w:t>
      </w:r>
    </w:p>
    <w:p w14:paraId="63891BAD" w14:textId="77777777" w:rsidR="00222C36" w:rsidRPr="00222C36" w:rsidRDefault="00222C36" w:rsidP="00350039">
      <w:pPr>
        <w:rPr>
          <w:rFonts w:asciiTheme="minorHAnsi" w:hAnsiTheme="minorHAnsi" w:cstheme="minorHAnsi"/>
          <w:sz w:val="22"/>
          <w:szCs w:val="22"/>
        </w:rPr>
      </w:pPr>
    </w:p>
    <w:p w14:paraId="6AF2CE72" w14:textId="77777777" w:rsidR="00350039" w:rsidRPr="003D0430" w:rsidRDefault="00350039" w:rsidP="00350039">
      <w:pPr>
        <w:rPr>
          <w:rFonts w:asciiTheme="minorHAnsi" w:hAnsiTheme="minorHAnsi" w:cstheme="minorHAnsi"/>
          <w:sz w:val="22"/>
          <w:szCs w:val="22"/>
        </w:rPr>
      </w:pPr>
      <w:r w:rsidRPr="003D0430">
        <w:rPr>
          <w:rFonts w:asciiTheme="minorHAnsi" w:hAnsiTheme="minorHAnsi" w:cstheme="minorHAnsi"/>
          <w:sz w:val="22"/>
          <w:szCs w:val="22"/>
        </w:rPr>
        <w:t>Gabbert, G., Schwade, N., &amp; Tobey, E. A. (2002). A tutorial on speech production sequelae associated with psychotropic and antiepileptic treatment of mental illness. (Tutorial). Journal of Medical Speech-Language Pathology, 10(2), 87-100. Retrieved from: http://go.galegroup.com/ps/anonymous?id=GALE%7CA94207650&amp;sid=googleScholar&amp;v=2.1</w:t>
      </w:r>
    </w:p>
    <w:p w14:paraId="7FE6E4CB" w14:textId="77777777" w:rsidR="00350039" w:rsidRPr="003D0430" w:rsidRDefault="00350039" w:rsidP="00350039">
      <w:pPr>
        <w:rPr>
          <w:rFonts w:asciiTheme="minorHAnsi" w:hAnsiTheme="minorHAnsi" w:cstheme="minorHAnsi"/>
          <w:sz w:val="22"/>
          <w:szCs w:val="22"/>
        </w:rPr>
      </w:pPr>
    </w:p>
    <w:p w14:paraId="422AAB9D" w14:textId="37072DD5" w:rsidR="00D96C5A" w:rsidRPr="003D0430" w:rsidRDefault="00350039" w:rsidP="00350039">
      <w:pPr>
        <w:rPr>
          <w:rFonts w:asciiTheme="minorHAnsi" w:hAnsiTheme="minorHAnsi" w:cstheme="minorHAnsi"/>
          <w:sz w:val="22"/>
          <w:szCs w:val="22"/>
        </w:rPr>
      </w:pPr>
      <w:r w:rsidRPr="003D0430">
        <w:rPr>
          <w:rFonts w:asciiTheme="minorHAnsi" w:hAnsiTheme="minorHAnsi" w:cstheme="minorHAnsi"/>
          <w:sz w:val="22"/>
          <w:szCs w:val="22"/>
        </w:rPr>
        <w:t>Hollo, A.</w:t>
      </w:r>
      <w:r w:rsidR="00D96C5A">
        <w:rPr>
          <w:rFonts w:asciiTheme="minorHAnsi" w:hAnsiTheme="minorHAnsi" w:cstheme="minorHAnsi"/>
          <w:sz w:val="22"/>
          <w:szCs w:val="22"/>
        </w:rPr>
        <w:t>, Wehby, J.H.</w:t>
      </w:r>
      <w:r w:rsidRPr="003D0430">
        <w:rPr>
          <w:rFonts w:asciiTheme="minorHAnsi" w:hAnsiTheme="minorHAnsi" w:cstheme="minorHAnsi"/>
          <w:sz w:val="22"/>
          <w:szCs w:val="22"/>
        </w:rPr>
        <w:t xml:space="preserve"> </w:t>
      </w:r>
      <w:r w:rsidR="00D96C5A">
        <w:rPr>
          <w:rFonts w:asciiTheme="minorHAnsi" w:hAnsiTheme="minorHAnsi" w:cstheme="minorHAnsi"/>
          <w:sz w:val="22"/>
          <w:szCs w:val="22"/>
        </w:rPr>
        <w:t>and Oliver, R.M</w:t>
      </w:r>
      <w:r w:rsidRPr="003D0430">
        <w:rPr>
          <w:rFonts w:asciiTheme="minorHAnsi" w:hAnsiTheme="minorHAnsi" w:cstheme="minorHAnsi"/>
          <w:sz w:val="22"/>
          <w:szCs w:val="22"/>
        </w:rPr>
        <w:t xml:space="preserve">. (2014). Unidentified Language Deficits in Children with Emotional and </w:t>
      </w:r>
      <w:proofErr w:type="spellStart"/>
      <w:r w:rsidRPr="003D0430">
        <w:rPr>
          <w:rFonts w:asciiTheme="minorHAnsi" w:hAnsiTheme="minorHAnsi" w:cstheme="minorHAnsi"/>
          <w:sz w:val="22"/>
          <w:szCs w:val="22"/>
        </w:rPr>
        <w:t>Behavioral</w:t>
      </w:r>
      <w:proofErr w:type="spellEnd"/>
      <w:r w:rsidRPr="003D0430">
        <w:rPr>
          <w:rFonts w:asciiTheme="minorHAnsi" w:hAnsiTheme="minorHAnsi" w:cstheme="minorHAnsi"/>
          <w:sz w:val="22"/>
          <w:szCs w:val="22"/>
        </w:rPr>
        <w:t xml:space="preserve"> Disorders: A Meta-Analysis. Exceptional Children 80(2): 169-186.</w:t>
      </w:r>
    </w:p>
    <w:p w14:paraId="0683E0DE" w14:textId="0C565821" w:rsidR="0098395C" w:rsidRPr="003D0430" w:rsidRDefault="0098395C" w:rsidP="00350039">
      <w:pPr>
        <w:rPr>
          <w:rFonts w:asciiTheme="minorHAnsi" w:hAnsiTheme="minorHAnsi" w:cstheme="minorHAnsi"/>
          <w:sz w:val="22"/>
          <w:szCs w:val="22"/>
        </w:rPr>
      </w:pPr>
    </w:p>
    <w:p w14:paraId="248F5E00" w14:textId="36B5EC78" w:rsidR="0098395C" w:rsidRDefault="0098395C" w:rsidP="0098395C">
      <w:pPr>
        <w:pStyle w:val="ydpf42a50a8msonormal"/>
        <w:spacing w:before="0" w:beforeAutospacing="0" w:after="0" w:afterAutospacing="0"/>
        <w:rPr>
          <w:rFonts w:asciiTheme="minorHAnsi" w:hAnsiTheme="minorHAnsi" w:cstheme="minorHAnsi"/>
        </w:rPr>
      </w:pPr>
      <w:r w:rsidRPr="003D0430">
        <w:rPr>
          <w:rFonts w:asciiTheme="minorHAnsi" w:hAnsiTheme="minorHAnsi" w:cstheme="minorHAnsi"/>
        </w:rPr>
        <w:t>Law, J</w:t>
      </w:r>
      <w:r w:rsidR="00D96C5A">
        <w:rPr>
          <w:rFonts w:asciiTheme="minorHAnsi" w:hAnsiTheme="minorHAnsi" w:cstheme="minorHAnsi"/>
        </w:rPr>
        <w:t>., Rush, R., Schoon, I. and Parsons, S</w:t>
      </w:r>
      <w:r w:rsidR="001165AA" w:rsidRPr="003D0430">
        <w:rPr>
          <w:rFonts w:asciiTheme="minorHAnsi" w:hAnsiTheme="minorHAnsi" w:cstheme="minorHAnsi"/>
        </w:rPr>
        <w:t>.</w:t>
      </w:r>
      <w:r w:rsidRPr="003D0430">
        <w:rPr>
          <w:rFonts w:asciiTheme="minorHAnsi" w:hAnsiTheme="minorHAnsi" w:cstheme="minorHAnsi"/>
        </w:rPr>
        <w:t xml:space="preserve"> (2010)</w:t>
      </w:r>
      <w:r w:rsidR="001165AA" w:rsidRPr="003D0430">
        <w:rPr>
          <w:rFonts w:asciiTheme="minorHAnsi" w:hAnsiTheme="minorHAnsi" w:cstheme="minorHAnsi"/>
        </w:rPr>
        <w:t>.</w:t>
      </w:r>
      <w:r w:rsidRPr="003D0430">
        <w:rPr>
          <w:rFonts w:asciiTheme="minorHAnsi" w:hAnsiTheme="minorHAnsi" w:cstheme="minorHAnsi"/>
        </w:rPr>
        <w:t xml:space="preserve"> Modelling developmental language difficulties from school entry into adulthood. </w:t>
      </w:r>
      <w:r w:rsidRPr="003D0430">
        <w:rPr>
          <w:rFonts w:asciiTheme="minorHAnsi" w:hAnsiTheme="minorHAnsi" w:cstheme="minorHAnsi"/>
          <w:i/>
          <w:iCs/>
        </w:rPr>
        <w:t xml:space="preserve">Journal of speech, </w:t>
      </w:r>
      <w:proofErr w:type="gramStart"/>
      <w:r w:rsidRPr="003D0430">
        <w:rPr>
          <w:rFonts w:asciiTheme="minorHAnsi" w:hAnsiTheme="minorHAnsi" w:cstheme="minorHAnsi"/>
          <w:i/>
          <w:iCs/>
        </w:rPr>
        <w:t>language</w:t>
      </w:r>
      <w:proofErr w:type="gramEnd"/>
      <w:r w:rsidRPr="003D0430">
        <w:rPr>
          <w:rFonts w:asciiTheme="minorHAnsi" w:hAnsiTheme="minorHAnsi" w:cstheme="minorHAnsi"/>
          <w:i/>
          <w:iCs/>
        </w:rPr>
        <w:t xml:space="preserve"> and hearing research</w:t>
      </w:r>
      <w:r w:rsidRPr="003D0430">
        <w:rPr>
          <w:rFonts w:asciiTheme="minorHAnsi" w:hAnsiTheme="minorHAnsi" w:cstheme="minorHAnsi"/>
        </w:rPr>
        <w:t>, 52, 1401-1416</w:t>
      </w:r>
    </w:p>
    <w:p w14:paraId="2C81F8FA" w14:textId="77777777" w:rsidR="00460024" w:rsidRPr="00D96C5A" w:rsidRDefault="00460024" w:rsidP="0098395C">
      <w:pPr>
        <w:pStyle w:val="ydpf42a50a8msonormal"/>
        <w:spacing w:before="0" w:beforeAutospacing="0" w:after="0" w:afterAutospacing="0"/>
        <w:rPr>
          <w:rFonts w:asciiTheme="minorHAnsi" w:hAnsiTheme="minorHAnsi" w:cstheme="minorHAnsi"/>
        </w:rPr>
      </w:pPr>
    </w:p>
    <w:p w14:paraId="4A37F798" w14:textId="0E746B41" w:rsidR="0098395C" w:rsidRPr="003D0430" w:rsidRDefault="0098395C" w:rsidP="00350039">
      <w:pPr>
        <w:rPr>
          <w:rFonts w:asciiTheme="minorHAnsi" w:hAnsiTheme="minorHAnsi" w:cstheme="minorHAnsi"/>
          <w:sz w:val="22"/>
          <w:szCs w:val="22"/>
        </w:rPr>
      </w:pPr>
      <w:r w:rsidRPr="003D0430">
        <w:rPr>
          <w:rFonts w:asciiTheme="minorHAnsi" w:hAnsiTheme="minorHAnsi" w:cstheme="minorHAnsi"/>
          <w:sz w:val="22"/>
          <w:szCs w:val="22"/>
        </w:rPr>
        <w:t>Locke</w:t>
      </w:r>
      <w:r w:rsidR="001165AA" w:rsidRPr="003D0430">
        <w:rPr>
          <w:rFonts w:asciiTheme="minorHAnsi" w:hAnsiTheme="minorHAnsi" w:cstheme="minorHAnsi"/>
          <w:sz w:val="22"/>
          <w:szCs w:val="22"/>
        </w:rPr>
        <w:t>,</w:t>
      </w:r>
      <w:r w:rsidRPr="003D0430">
        <w:rPr>
          <w:rFonts w:asciiTheme="minorHAnsi" w:hAnsiTheme="minorHAnsi" w:cstheme="minorHAnsi"/>
          <w:sz w:val="22"/>
          <w:szCs w:val="22"/>
        </w:rPr>
        <w:t xml:space="preserve"> A</w:t>
      </w:r>
      <w:r w:rsidR="001165AA" w:rsidRPr="003D0430">
        <w:rPr>
          <w:rFonts w:asciiTheme="minorHAnsi" w:hAnsiTheme="minorHAnsi" w:cstheme="minorHAnsi"/>
          <w:sz w:val="22"/>
          <w:szCs w:val="22"/>
        </w:rPr>
        <w:t>.</w:t>
      </w:r>
      <w:r w:rsidRPr="003D0430">
        <w:rPr>
          <w:rFonts w:asciiTheme="minorHAnsi" w:hAnsiTheme="minorHAnsi" w:cstheme="minorHAnsi"/>
          <w:sz w:val="22"/>
          <w:szCs w:val="22"/>
        </w:rPr>
        <w:t>, Ginsborg</w:t>
      </w:r>
      <w:r w:rsidR="001165AA" w:rsidRPr="003D0430">
        <w:rPr>
          <w:rFonts w:asciiTheme="minorHAnsi" w:hAnsiTheme="minorHAnsi" w:cstheme="minorHAnsi"/>
          <w:sz w:val="22"/>
          <w:szCs w:val="22"/>
        </w:rPr>
        <w:t>,</w:t>
      </w:r>
      <w:r w:rsidRPr="003D0430">
        <w:rPr>
          <w:rFonts w:asciiTheme="minorHAnsi" w:hAnsiTheme="minorHAnsi" w:cstheme="minorHAnsi"/>
          <w:sz w:val="22"/>
          <w:szCs w:val="22"/>
        </w:rPr>
        <w:t xml:space="preserve"> J</w:t>
      </w:r>
      <w:r w:rsidR="001165AA" w:rsidRPr="003D0430">
        <w:rPr>
          <w:rFonts w:asciiTheme="minorHAnsi" w:hAnsiTheme="minorHAnsi" w:cstheme="minorHAnsi"/>
          <w:sz w:val="22"/>
          <w:szCs w:val="22"/>
        </w:rPr>
        <w:t>. and</w:t>
      </w:r>
      <w:r w:rsidRPr="003D0430">
        <w:rPr>
          <w:rFonts w:asciiTheme="minorHAnsi" w:hAnsiTheme="minorHAnsi" w:cstheme="minorHAnsi"/>
          <w:sz w:val="22"/>
          <w:szCs w:val="22"/>
        </w:rPr>
        <w:t xml:space="preserve"> Peers</w:t>
      </w:r>
      <w:r w:rsidR="001165AA" w:rsidRPr="003D0430">
        <w:rPr>
          <w:rFonts w:asciiTheme="minorHAnsi" w:hAnsiTheme="minorHAnsi" w:cstheme="minorHAnsi"/>
          <w:sz w:val="22"/>
          <w:szCs w:val="22"/>
        </w:rPr>
        <w:t>,</w:t>
      </w:r>
      <w:r w:rsidRPr="003D0430">
        <w:rPr>
          <w:rFonts w:asciiTheme="minorHAnsi" w:hAnsiTheme="minorHAnsi" w:cstheme="minorHAnsi"/>
          <w:sz w:val="22"/>
          <w:szCs w:val="22"/>
        </w:rPr>
        <w:t xml:space="preserve"> I. (2002)</w:t>
      </w:r>
      <w:r w:rsidR="001165AA" w:rsidRPr="003D0430">
        <w:rPr>
          <w:rFonts w:asciiTheme="minorHAnsi" w:hAnsiTheme="minorHAnsi" w:cstheme="minorHAnsi"/>
          <w:sz w:val="22"/>
          <w:szCs w:val="22"/>
        </w:rPr>
        <w:t>.</w:t>
      </w:r>
      <w:r w:rsidRPr="003D0430">
        <w:rPr>
          <w:rFonts w:asciiTheme="minorHAnsi" w:hAnsiTheme="minorHAnsi" w:cstheme="minorHAnsi"/>
          <w:sz w:val="22"/>
          <w:szCs w:val="22"/>
        </w:rPr>
        <w:t xml:space="preserve"> Development and disadvantage: Implications for the early years and beyond, International Journal of Language and Communication Disorders, 37(1), pp. 3-15</w:t>
      </w:r>
    </w:p>
    <w:p w14:paraId="136F896B" w14:textId="0752CBFE" w:rsidR="0098395C" w:rsidRPr="003D0430" w:rsidRDefault="0098395C" w:rsidP="00350039">
      <w:pPr>
        <w:rPr>
          <w:rFonts w:asciiTheme="minorHAnsi" w:hAnsiTheme="minorHAnsi" w:cstheme="minorHAnsi"/>
          <w:sz w:val="22"/>
          <w:szCs w:val="22"/>
        </w:rPr>
      </w:pPr>
    </w:p>
    <w:p w14:paraId="5875C80D" w14:textId="77777777" w:rsidR="0098395C" w:rsidRPr="003D0430" w:rsidRDefault="0098395C" w:rsidP="0098395C">
      <w:pPr>
        <w:rPr>
          <w:rFonts w:asciiTheme="minorHAnsi" w:hAnsiTheme="minorHAnsi" w:cstheme="minorHAnsi"/>
          <w:sz w:val="22"/>
          <w:szCs w:val="22"/>
        </w:rPr>
      </w:pPr>
      <w:r w:rsidRPr="003D0430">
        <w:rPr>
          <w:rFonts w:asciiTheme="minorHAnsi" w:hAnsiTheme="minorHAnsi" w:cstheme="minorHAnsi"/>
          <w:sz w:val="22"/>
          <w:szCs w:val="22"/>
        </w:rPr>
        <w:t xml:space="preserve">National Assembly for Wales Health, Social Care and Sport Committee (2018).  </w:t>
      </w:r>
      <w:hyperlink r:id="rId15" w:history="1">
        <w:r w:rsidRPr="003D0430">
          <w:rPr>
            <w:rStyle w:val="Hyperlink"/>
            <w:rFonts w:asciiTheme="minorHAnsi" w:hAnsiTheme="minorHAnsi" w:cstheme="minorHAnsi"/>
            <w:sz w:val="22"/>
            <w:szCs w:val="22"/>
          </w:rPr>
          <w:t>Report on the use of anti-psychotic medication in care homes</w:t>
        </w:r>
      </w:hyperlink>
      <w:r w:rsidRPr="003D0430">
        <w:rPr>
          <w:rFonts w:asciiTheme="minorHAnsi" w:hAnsiTheme="minorHAnsi" w:cstheme="minorHAnsi"/>
          <w:sz w:val="22"/>
          <w:szCs w:val="22"/>
        </w:rPr>
        <w:t xml:space="preserve">. [online]. [Accessed 25 February 2022]. </w:t>
      </w:r>
    </w:p>
    <w:p w14:paraId="0E6875A4" w14:textId="77777777" w:rsidR="0098395C" w:rsidRPr="003D0430" w:rsidRDefault="0098395C" w:rsidP="00350039">
      <w:pPr>
        <w:rPr>
          <w:rFonts w:asciiTheme="minorHAnsi" w:hAnsiTheme="minorHAnsi" w:cstheme="minorHAnsi"/>
          <w:sz w:val="22"/>
          <w:szCs w:val="22"/>
        </w:rPr>
      </w:pPr>
    </w:p>
    <w:p w14:paraId="2CDFA31B" w14:textId="77777777" w:rsidR="00350039" w:rsidRPr="003D0430" w:rsidRDefault="00350039" w:rsidP="00350039">
      <w:pPr>
        <w:rPr>
          <w:rFonts w:asciiTheme="minorHAnsi" w:hAnsiTheme="minorHAnsi" w:cstheme="minorHAnsi"/>
          <w:sz w:val="22"/>
          <w:szCs w:val="22"/>
        </w:rPr>
      </w:pPr>
      <w:r w:rsidRPr="003D0430">
        <w:rPr>
          <w:rFonts w:asciiTheme="minorHAnsi" w:hAnsiTheme="minorHAnsi" w:cstheme="minorHAnsi"/>
          <w:sz w:val="22"/>
          <w:szCs w:val="22"/>
        </w:rPr>
        <w:t>NHS Digital. (2018). Mental Health of Children and Young People in England, 2017. https://files.digital.nhs.uk/42/9E0302/MHCYP%202017%20 Multiple%20Conditions.pdf</w:t>
      </w:r>
    </w:p>
    <w:p w14:paraId="1A811828" w14:textId="131250C7" w:rsidR="00350039" w:rsidRPr="003D0430" w:rsidRDefault="00350039" w:rsidP="00350039">
      <w:pPr>
        <w:rPr>
          <w:rFonts w:asciiTheme="minorHAnsi" w:hAnsiTheme="minorHAnsi" w:cstheme="minorHAnsi"/>
          <w:sz w:val="22"/>
          <w:szCs w:val="22"/>
        </w:rPr>
      </w:pPr>
    </w:p>
    <w:p w14:paraId="76334A99" w14:textId="2343649F" w:rsidR="0098395C" w:rsidRPr="003D0430" w:rsidRDefault="0098395C" w:rsidP="0098395C">
      <w:pPr>
        <w:pStyle w:val="ydpf42a50a8msonormal"/>
        <w:spacing w:before="0" w:beforeAutospacing="0" w:after="0" w:afterAutospacing="0"/>
        <w:rPr>
          <w:rFonts w:asciiTheme="minorHAnsi" w:hAnsiTheme="minorHAnsi" w:cstheme="minorHAnsi"/>
          <w:shd w:val="clear" w:color="auto" w:fill="FFFFFF"/>
        </w:rPr>
      </w:pPr>
      <w:proofErr w:type="spellStart"/>
      <w:r w:rsidRPr="003D0430">
        <w:rPr>
          <w:rFonts w:asciiTheme="minorHAnsi" w:hAnsiTheme="minorHAnsi" w:cstheme="minorHAnsi"/>
          <w:shd w:val="clear" w:color="auto" w:fill="FFFFFF"/>
        </w:rPr>
        <w:t>Olutende</w:t>
      </w:r>
      <w:proofErr w:type="spellEnd"/>
      <w:r w:rsidRPr="003D0430">
        <w:rPr>
          <w:rFonts w:asciiTheme="minorHAnsi" w:hAnsiTheme="minorHAnsi" w:cstheme="minorHAnsi"/>
          <w:shd w:val="clear" w:color="auto" w:fill="FFFFFF"/>
        </w:rPr>
        <w:t xml:space="preserve">, M. O., </w:t>
      </w:r>
      <w:proofErr w:type="spellStart"/>
      <w:r w:rsidRPr="003D0430">
        <w:rPr>
          <w:rFonts w:asciiTheme="minorHAnsi" w:hAnsiTheme="minorHAnsi" w:cstheme="minorHAnsi"/>
          <w:shd w:val="clear" w:color="auto" w:fill="FFFFFF"/>
        </w:rPr>
        <w:t>Mse</w:t>
      </w:r>
      <w:proofErr w:type="spellEnd"/>
      <w:r w:rsidRPr="003D0430">
        <w:rPr>
          <w:rFonts w:asciiTheme="minorHAnsi" w:hAnsiTheme="minorHAnsi" w:cstheme="minorHAnsi"/>
          <w:shd w:val="clear" w:color="auto" w:fill="FFFFFF"/>
        </w:rPr>
        <w:t xml:space="preserve">, E., Wanzala, M.N. and </w:t>
      </w:r>
      <w:proofErr w:type="spellStart"/>
      <w:r w:rsidRPr="003D0430">
        <w:rPr>
          <w:rFonts w:asciiTheme="minorHAnsi" w:hAnsiTheme="minorHAnsi" w:cstheme="minorHAnsi"/>
          <w:shd w:val="clear" w:color="auto" w:fill="FFFFFF"/>
        </w:rPr>
        <w:t>Wamukoya</w:t>
      </w:r>
      <w:proofErr w:type="spellEnd"/>
      <w:r w:rsidRPr="003D0430">
        <w:rPr>
          <w:rFonts w:asciiTheme="minorHAnsi" w:hAnsiTheme="minorHAnsi" w:cstheme="minorHAnsi"/>
          <w:shd w:val="clear" w:color="auto" w:fill="FFFFFF"/>
        </w:rPr>
        <w:t>, E. K. (2021)</w:t>
      </w:r>
      <w:r w:rsidR="001165AA" w:rsidRPr="003D0430">
        <w:rPr>
          <w:rFonts w:asciiTheme="minorHAnsi" w:hAnsiTheme="minorHAnsi" w:cstheme="minorHAnsi"/>
          <w:shd w:val="clear" w:color="auto" w:fill="FFFFFF"/>
        </w:rPr>
        <w:t>.</w:t>
      </w:r>
      <w:r w:rsidRPr="003D0430">
        <w:rPr>
          <w:rFonts w:asciiTheme="minorHAnsi" w:hAnsiTheme="minorHAnsi" w:cstheme="minorHAnsi"/>
          <w:shd w:val="clear" w:color="auto" w:fill="FFFFFF"/>
        </w:rPr>
        <w:t> </w:t>
      </w:r>
      <w:hyperlink r:id="rId16" w:history="1">
        <w:r w:rsidRPr="00477673">
          <w:rPr>
            <w:rStyle w:val="Hyperlink"/>
            <w:rFonts w:asciiTheme="minorHAnsi" w:hAnsiTheme="minorHAnsi" w:cstheme="minorHAnsi"/>
            <w:b/>
            <w:bCs/>
            <w:color w:val="auto"/>
            <w:shd w:val="clear" w:color="auto" w:fill="FFFFFF"/>
          </w:rPr>
          <w:t>The Influence of socio-economic deprivation on multi-morbidity: a systematic review.</w:t>
        </w:r>
      </w:hyperlink>
      <w:r w:rsidRPr="003D0430">
        <w:rPr>
          <w:rFonts w:asciiTheme="minorHAnsi" w:hAnsiTheme="minorHAnsi" w:cstheme="minorHAnsi"/>
          <w:shd w:val="clear" w:color="auto" w:fill="FFFFFF"/>
        </w:rPr>
        <w:t> </w:t>
      </w:r>
      <w:r w:rsidRPr="003D0430">
        <w:rPr>
          <w:rStyle w:val="Emphasis"/>
          <w:rFonts w:asciiTheme="minorHAnsi" w:hAnsiTheme="minorHAnsi" w:cstheme="minorHAnsi"/>
          <w:shd w:val="clear" w:color="auto" w:fill="FFFFFF"/>
        </w:rPr>
        <w:t>European Journal of Physical Education and Sport Science</w:t>
      </w:r>
      <w:r w:rsidRPr="003D0430">
        <w:rPr>
          <w:rFonts w:asciiTheme="minorHAnsi" w:hAnsiTheme="minorHAnsi" w:cstheme="minorHAnsi"/>
          <w:shd w:val="clear" w:color="auto" w:fill="FFFFFF"/>
        </w:rPr>
        <w:t>, 6(12), DOI: 10.46827/</w:t>
      </w:r>
      <w:proofErr w:type="gramStart"/>
      <w:r w:rsidRPr="003D0430">
        <w:rPr>
          <w:rFonts w:asciiTheme="minorHAnsi" w:hAnsiTheme="minorHAnsi" w:cstheme="minorHAnsi"/>
          <w:shd w:val="clear" w:color="auto" w:fill="FFFFFF"/>
        </w:rPr>
        <w:t>ejpe.v</w:t>
      </w:r>
      <w:proofErr w:type="gramEnd"/>
      <w:r w:rsidRPr="003D0430">
        <w:rPr>
          <w:rFonts w:asciiTheme="minorHAnsi" w:hAnsiTheme="minorHAnsi" w:cstheme="minorHAnsi"/>
          <w:shd w:val="clear" w:color="auto" w:fill="FFFFFF"/>
        </w:rPr>
        <w:t>6i12.3656</w:t>
      </w:r>
    </w:p>
    <w:p w14:paraId="40B18B21" w14:textId="77777777" w:rsidR="0098395C" w:rsidRPr="003D0430" w:rsidRDefault="0098395C" w:rsidP="00350039">
      <w:pPr>
        <w:rPr>
          <w:rFonts w:asciiTheme="minorHAnsi" w:hAnsiTheme="minorHAnsi" w:cstheme="minorHAnsi"/>
          <w:sz w:val="22"/>
          <w:szCs w:val="22"/>
        </w:rPr>
      </w:pPr>
    </w:p>
    <w:p w14:paraId="658865BC" w14:textId="3A611E93" w:rsidR="00350039" w:rsidRPr="003D0430" w:rsidRDefault="00350039" w:rsidP="00350039">
      <w:pPr>
        <w:rPr>
          <w:rFonts w:asciiTheme="minorHAnsi" w:hAnsiTheme="minorHAnsi" w:cstheme="minorHAnsi"/>
          <w:sz w:val="22"/>
          <w:szCs w:val="22"/>
        </w:rPr>
      </w:pPr>
      <w:r w:rsidRPr="003D0430">
        <w:rPr>
          <w:rFonts w:asciiTheme="minorHAnsi" w:hAnsiTheme="minorHAnsi" w:cstheme="minorHAnsi"/>
          <w:sz w:val="22"/>
          <w:szCs w:val="22"/>
        </w:rPr>
        <w:t>Regan, J.</w:t>
      </w:r>
      <w:r w:rsidR="001165AA" w:rsidRPr="003D0430">
        <w:rPr>
          <w:rFonts w:asciiTheme="minorHAnsi" w:hAnsiTheme="minorHAnsi" w:cstheme="minorHAnsi"/>
          <w:sz w:val="22"/>
          <w:szCs w:val="22"/>
        </w:rPr>
        <w:t xml:space="preserve">, </w:t>
      </w:r>
      <w:proofErr w:type="spellStart"/>
      <w:r w:rsidR="001165AA" w:rsidRPr="003D0430">
        <w:rPr>
          <w:rFonts w:asciiTheme="minorHAnsi" w:hAnsiTheme="minorHAnsi" w:cstheme="minorHAnsi"/>
          <w:sz w:val="22"/>
          <w:szCs w:val="22"/>
        </w:rPr>
        <w:t>Sowman</w:t>
      </w:r>
      <w:proofErr w:type="spellEnd"/>
      <w:r w:rsidR="001165AA" w:rsidRPr="003D0430">
        <w:rPr>
          <w:rFonts w:asciiTheme="minorHAnsi" w:hAnsiTheme="minorHAnsi" w:cstheme="minorHAnsi"/>
          <w:sz w:val="22"/>
          <w:szCs w:val="22"/>
        </w:rPr>
        <w:t>, R. and Walsh, I.</w:t>
      </w:r>
      <w:r w:rsidRPr="003D0430">
        <w:rPr>
          <w:rFonts w:asciiTheme="minorHAnsi" w:hAnsiTheme="minorHAnsi" w:cstheme="minorHAnsi"/>
          <w:sz w:val="22"/>
          <w:szCs w:val="22"/>
        </w:rPr>
        <w:t xml:space="preserve"> (2006). Prevalence of Dysphagia in Acute and Community Mental Health Settings. Dysphagia 95–101.</w:t>
      </w:r>
    </w:p>
    <w:p w14:paraId="3CB3C7C5" w14:textId="77777777" w:rsidR="00350039" w:rsidRPr="003D0430" w:rsidRDefault="00350039" w:rsidP="00350039">
      <w:pPr>
        <w:rPr>
          <w:rFonts w:asciiTheme="minorHAnsi" w:hAnsiTheme="minorHAnsi" w:cstheme="minorHAnsi"/>
          <w:sz w:val="22"/>
          <w:szCs w:val="22"/>
        </w:rPr>
      </w:pPr>
    </w:p>
    <w:p w14:paraId="163A828B" w14:textId="235BC01D" w:rsidR="001165AA" w:rsidRPr="003D0430" w:rsidRDefault="00350039" w:rsidP="00350039">
      <w:pPr>
        <w:rPr>
          <w:rFonts w:asciiTheme="minorHAnsi" w:hAnsiTheme="minorHAnsi" w:cstheme="minorHAnsi"/>
          <w:sz w:val="22"/>
          <w:szCs w:val="22"/>
        </w:rPr>
      </w:pPr>
      <w:proofErr w:type="spellStart"/>
      <w:r w:rsidRPr="003D0430">
        <w:rPr>
          <w:rFonts w:asciiTheme="minorHAnsi" w:hAnsiTheme="minorHAnsi" w:cstheme="minorHAnsi"/>
          <w:sz w:val="22"/>
          <w:szCs w:val="22"/>
        </w:rPr>
        <w:t>Ruschena</w:t>
      </w:r>
      <w:proofErr w:type="spellEnd"/>
      <w:r w:rsidRPr="003D0430">
        <w:rPr>
          <w:rFonts w:asciiTheme="minorHAnsi" w:hAnsiTheme="minorHAnsi" w:cstheme="minorHAnsi"/>
          <w:sz w:val="22"/>
          <w:szCs w:val="22"/>
        </w:rPr>
        <w:t>, D.</w:t>
      </w:r>
      <w:r w:rsidR="001165AA" w:rsidRPr="003D0430">
        <w:rPr>
          <w:rFonts w:asciiTheme="minorHAnsi" w:hAnsiTheme="minorHAnsi" w:cstheme="minorHAnsi"/>
          <w:sz w:val="22"/>
          <w:szCs w:val="22"/>
        </w:rPr>
        <w:t>, Mullen, P.E., Palmer, S., Burgess, P., Cordner, S.M., Drummer, O.H., Wallace, C. and Barry-Walsh, J</w:t>
      </w:r>
      <w:r w:rsidRPr="003D0430">
        <w:rPr>
          <w:rFonts w:asciiTheme="minorHAnsi" w:hAnsiTheme="minorHAnsi" w:cstheme="minorHAnsi"/>
          <w:sz w:val="22"/>
          <w:szCs w:val="22"/>
        </w:rPr>
        <w:t>. (2003). Choking deaths: the role of antipsychotic medication. British Journal of Psychiatry, 183, 446-450.</w:t>
      </w:r>
    </w:p>
    <w:p w14:paraId="15AD2F9D" w14:textId="77777777" w:rsidR="001165AA" w:rsidRPr="003D0430" w:rsidRDefault="001165AA" w:rsidP="00350039">
      <w:pPr>
        <w:rPr>
          <w:rFonts w:asciiTheme="minorHAnsi" w:hAnsiTheme="minorHAnsi" w:cstheme="minorHAnsi"/>
          <w:sz w:val="22"/>
          <w:szCs w:val="22"/>
        </w:rPr>
      </w:pPr>
    </w:p>
    <w:p w14:paraId="1DF51417" w14:textId="6C33EEE7" w:rsidR="00350039" w:rsidRPr="003D0430" w:rsidRDefault="00350039" w:rsidP="00781D04">
      <w:pPr>
        <w:pStyle w:val="ydpf42a50a8msonormal"/>
        <w:spacing w:before="0" w:beforeAutospacing="0" w:after="0" w:afterAutospacing="0"/>
        <w:rPr>
          <w:rFonts w:asciiTheme="minorHAnsi" w:hAnsiTheme="minorHAnsi" w:cstheme="minorHAnsi"/>
          <w:shd w:val="clear" w:color="auto" w:fill="FFFFFF"/>
        </w:rPr>
      </w:pPr>
      <w:r w:rsidRPr="003D0430">
        <w:rPr>
          <w:rFonts w:asciiTheme="minorHAnsi" w:hAnsiTheme="minorHAnsi" w:cstheme="minorHAnsi"/>
          <w:shd w:val="clear" w:color="auto" w:fill="FFFFFF"/>
        </w:rPr>
        <w:t>The King’s Fund</w:t>
      </w:r>
      <w:r w:rsidR="001165AA" w:rsidRPr="003D0430">
        <w:rPr>
          <w:rFonts w:asciiTheme="minorHAnsi" w:hAnsiTheme="minorHAnsi" w:cstheme="minorHAnsi"/>
          <w:shd w:val="clear" w:color="auto" w:fill="FFFFFF"/>
        </w:rPr>
        <w:t>.</w:t>
      </w:r>
      <w:r w:rsidRPr="003D0430">
        <w:rPr>
          <w:rFonts w:asciiTheme="minorHAnsi" w:hAnsiTheme="minorHAnsi" w:cstheme="minorHAnsi"/>
          <w:shd w:val="clear" w:color="auto" w:fill="FFFFFF"/>
        </w:rPr>
        <w:t xml:space="preserve"> (2021)</w:t>
      </w:r>
      <w:r w:rsidR="001165AA" w:rsidRPr="003D0430">
        <w:rPr>
          <w:rFonts w:asciiTheme="minorHAnsi" w:hAnsiTheme="minorHAnsi" w:cstheme="minorHAnsi"/>
          <w:shd w:val="clear" w:color="auto" w:fill="FFFFFF"/>
        </w:rPr>
        <w:t>.</w:t>
      </w:r>
      <w:r w:rsidRPr="003D0430">
        <w:rPr>
          <w:rFonts w:asciiTheme="minorHAnsi" w:hAnsiTheme="minorHAnsi" w:cstheme="minorHAnsi"/>
          <w:shd w:val="clear" w:color="auto" w:fill="FFFFFF"/>
        </w:rPr>
        <w:t> </w:t>
      </w:r>
      <w:hyperlink r:id="rId17" w:history="1">
        <w:r w:rsidRPr="003D0430">
          <w:rPr>
            <w:rStyle w:val="Hyperlink"/>
            <w:rFonts w:asciiTheme="minorHAnsi" w:hAnsiTheme="minorHAnsi" w:cstheme="minorHAnsi"/>
            <w:b/>
            <w:bCs/>
            <w:color w:val="auto"/>
            <w:shd w:val="clear" w:color="auto" w:fill="FFFFFF"/>
          </w:rPr>
          <w:t>The health of people from ethnic minority groups in England</w:t>
        </w:r>
      </w:hyperlink>
      <w:r w:rsidRPr="003D0430">
        <w:rPr>
          <w:rFonts w:asciiTheme="minorHAnsi" w:hAnsiTheme="minorHAnsi" w:cstheme="minorHAnsi"/>
          <w:shd w:val="clear" w:color="auto" w:fill="FFFFFF"/>
        </w:rPr>
        <w:t>. [Online] [Accessed 25 February 2022]</w:t>
      </w:r>
    </w:p>
    <w:p w14:paraId="7C6E55B0" w14:textId="2FDA3454" w:rsidR="00323AC2" w:rsidRPr="003D0430" w:rsidRDefault="00323AC2" w:rsidP="00781D04">
      <w:pPr>
        <w:pStyle w:val="ydpf42a50a8msonormal"/>
        <w:spacing w:before="0" w:beforeAutospacing="0" w:after="0" w:afterAutospacing="0"/>
        <w:rPr>
          <w:rFonts w:asciiTheme="minorHAnsi" w:hAnsiTheme="minorHAnsi" w:cstheme="minorHAnsi"/>
          <w:shd w:val="clear" w:color="auto" w:fill="FFFFFF"/>
        </w:rPr>
      </w:pPr>
    </w:p>
    <w:p w14:paraId="611649DD" w14:textId="5CB73CD4" w:rsidR="00323AC2" w:rsidRPr="003D0430" w:rsidRDefault="00323AC2" w:rsidP="00781D04">
      <w:pPr>
        <w:pStyle w:val="ydpf42a50a8msonormal"/>
        <w:spacing w:before="0" w:beforeAutospacing="0" w:after="0" w:afterAutospacing="0"/>
        <w:rPr>
          <w:rFonts w:asciiTheme="minorHAnsi" w:hAnsiTheme="minorHAnsi" w:cstheme="minorHAnsi"/>
          <w:shd w:val="clear" w:color="auto" w:fill="FFFFFF"/>
        </w:rPr>
      </w:pPr>
      <w:r w:rsidRPr="003D0430">
        <w:rPr>
          <w:rFonts w:asciiTheme="minorHAnsi" w:hAnsiTheme="minorHAnsi" w:cstheme="minorHAnsi"/>
          <w:shd w:val="clear" w:color="auto" w:fill="FFFFFF"/>
        </w:rPr>
        <w:t>The King’s Fund</w:t>
      </w:r>
      <w:r w:rsidR="001165AA" w:rsidRPr="003D0430">
        <w:rPr>
          <w:rFonts w:asciiTheme="minorHAnsi" w:hAnsiTheme="minorHAnsi" w:cstheme="minorHAnsi"/>
          <w:shd w:val="clear" w:color="auto" w:fill="FFFFFF"/>
        </w:rPr>
        <w:t>.</w:t>
      </w:r>
      <w:r w:rsidRPr="003D0430">
        <w:rPr>
          <w:rFonts w:asciiTheme="minorHAnsi" w:hAnsiTheme="minorHAnsi" w:cstheme="minorHAnsi"/>
          <w:shd w:val="clear" w:color="auto" w:fill="FFFFFF"/>
        </w:rPr>
        <w:t xml:space="preserve"> (2021</w:t>
      </w:r>
      <w:r w:rsidR="009372C3">
        <w:rPr>
          <w:rFonts w:asciiTheme="minorHAnsi" w:hAnsiTheme="minorHAnsi" w:cstheme="minorHAnsi"/>
          <w:shd w:val="clear" w:color="auto" w:fill="FFFFFF"/>
        </w:rPr>
        <w:t>a</w:t>
      </w:r>
      <w:r w:rsidRPr="003D0430">
        <w:rPr>
          <w:rFonts w:asciiTheme="minorHAnsi" w:hAnsiTheme="minorHAnsi" w:cstheme="minorHAnsi"/>
          <w:shd w:val="clear" w:color="auto" w:fill="FFFFFF"/>
        </w:rPr>
        <w:t>)</w:t>
      </w:r>
      <w:r w:rsidR="001165AA" w:rsidRPr="003D0430">
        <w:rPr>
          <w:rFonts w:asciiTheme="minorHAnsi" w:hAnsiTheme="minorHAnsi" w:cstheme="minorHAnsi"/>
          <w:shd w:val="clear" w:color="auto" w:fill="FFFFFF"/>
        </w:rPr>
        <w:t>.</w:t>
      </w:r>
      <w:r w:rsidRPr="003D0430">
        <w:rPr>
          <w:rFonts w:asciiTheme="minorHAnsi" w:hAnsiTheme="minorHAnsi" w:cstheme="minorHAnsi"/>
          <w:shd w:val="clear" w:color="auto" w:fill="FFFFFF"/>
        </w:rPr>
        <w:t> </w:t>
      </w:r>
      <w:hyperlink r:id="rId18" w:history="1">
        <w:r w:rsidRPr="003D0430">
          <w:rPr>
            <w:rStyle w:val="Hyperlink"/>
            <w:rFonts w:asciiTheme="minorHAnsi" w:hAnsiTheme="minorHAnsi" w:cstheme="minorHAnsi"/>
            <w:b/>
            <w:bCs/>
            <w:color w:val="auto"/>
            <w:shd w:val="clear" w:color="auto" w:fill="FFFFFF"/>
          </w:rPr>
          <w:t>My role in tackling health inequalities: a framework for allied health professionals.</w:t>
        </w:r>
      </w:hyperlink>
      <w:r w:rsidRPr="003D0430">
        <w:rPr>
          <w:rFonts w:asciiTheme="minorHAnsi" w:hAnsiTheme="minorHAnsi" w:cstheme="minorHAnsi"/>
          <w:shd w:val="clear" w:color="auto" w:fill="FFFFFF"/>
        </w:rPr>
        <w:t> [Online]. [Accessed 25 February 2022]</w:t>
      </w:r>
    </w:p>
    <w:p w14:paraId="55466A29" w14:textId="09637AE5" w:rsidR="00350039" w:rsidRPr="003D0430" w:rsidRDefault="00350039" w:rsidP="00781D04">
      <w:pPr>
        <w:pStyle w:val="ydpf42a50a8msonormal"/>
        <w:spacing w:before="0" w:beforeAutospacing="0" w:after="0" w:afterAutospacing="0"/>
        <w:rPr>
          <w:rFonts w:asciiTheme="minorHAnsi" w:hAnsiTheme="minorHAnsi" w:cstheme="minorHAnsi"/>
          <w:shd w:val="clear" w:color="auto" w:fill="FFFFFF"/>
        </w:rPr>
      </w:pPr>
    </w:p>
    <w:p w14:paraId="433005B0" w14:textId="4F81A409" w:rsidR="0098395C" w:rsidRPr="003D0430" w:rsidRDefault="0098395C" w:rsidP="0098395C">
      <w:pPr>
        <w:adjustRightInd w:val="0"/>
        <w:rPr>
          <w:rFonts w:asciiTheme="minorHAnsi" w:hAnsiTheme="minorHAnsi" w:cstheme="minorHAnsi"/>
          <w:sz w:val="22"/>
          <w:szCs w:val="22"/>
        </w:rPr>
      </w:pPr>
      <w:r w:rsidRPr="003D0430">
        <w:rPr>
          <w:rFonts w:asciiTheme="minorHAnsi" w:hAnsiTheme="minorHAnsi" w:cstheme="minorHAnsi"/>
          <w:sz w:val="22"/>
          <w:szCs w:val="22"/>
        </w:rPr>
        <w:t>Walsh, I.</w:t>
      </w:r>
      <w:r w:rsidR="001165AA" w:rsidRPr="003D0430">
        <w:rPr>
          <w:rFonts w:asciiTheme="minorHAnsi" w:hAnsiTheme="minorHAnsi" w:cstheme="minorHAnsi"/>
          <w:sz w:val="22"/>
          <w:szCs w:val="22"/>
        </w:rPr>
        <w:t xml:space="preserve">, Regan, J., </w:t>
      </w:r>
      <w:proofErr w:type="spellStart"/>
      <w:r w:rsidR="001165AA" w:rsidRPr="003D0430">
        <w:rPr>
          <w:rFonts w:asciiTheme="minorHAnsi" w:hAnsiTheme="minorHAnsi" w:cstheme="minorHAnsi"/>
          <w:sz w:val="22"/>
          <w:szCs w:val="22"/>
        </w:rPr>
        <w:t>Sownman</w:t>
      </w:r>
      <w:proofErr w:type="spellEnd"/>
      <w:r w:rsidR="001165AA" w:rsidRPr="003D0430">
        <w:rPr>
          <w:rFonts w:asciiTheme="minorHAnsi" w:hAnsiTheme="minorHAnsi" w:cstheme="minorHAnsi"/>
          <w:sz w:val="22"/>
          <w:szCs w:val="22"/>
        </w:rPr>
        <w:t xml:space="preserve">, R., Parsons, B., </w:t>
      </w:r>
      <w:r w:rsidR="003D0430" w:rsidRPr="003D0430">
        <w:rPr>
          <w:rFonts w:asciiTheme="minorHAnsi" w:hAnsiTheme="minorHAnsi" w:cstheme="minorHAnsi"/>
          <w:sz w:val="22"/>
          <w:szCs w:val="22"/>
        </w:rPr>
        <w:t xml:space="preserve">McKay, A.P. </w:t>
      </w:r>
      <w:r w:rsidRPr="003D0430">
        <w:rPr>
          <w:rFonts w:asciiTheme="minorHAnsi" w:hAnsiTheme="minorHAnsi" w:cstheme="minorHAnsi"/>
          <w:sz w:val="22"/>
          <w:szCs w:val="22"/>
        </w:rPr>
        <w:t xml:space="preserve">(2007). </w:t>
      </w:r>
      <w:r w:rsidRPr="003D0430">
        <w:rPr>
          <w:rFonts w:asciiTheme="minorHAnsi" w:hAnsiTheme="minorHAnsi" w:cstheme="minorHAnsi"/>
          <w:bCs/>
          <w:sz w:val="22"/>
          <w:szCs w:val="22"/>
        </w:rPr>
        <w:t xml:space="preserve">A needs analysis for the provision of a speech and language therapy service to adults with mental health disorders. </w:t>
      </w:r>
      <w:proofErr w:type="spellStart"/>
      <w:r w:rsidRPr="003D0430">
        <w:rPr>
          <w:rFonts w:asciiTheme="minorHAnsi" w:hAnsiTheme="minorHAnsi" w:cstheme="minorHAnsi"/>
          <w:i/>
          <w:iCs/>
          <w:sz w:val="22"/>
          <w:szCs w:val="22"/>
        </w:rPr>
        <w:t>Ir</w:t>
      </w:r>
      <w:proofErr w:type="spellEnd"/>
      <w:r w:rsidRPr="003D0430">
        <w:rPr>
          <w:rFonts w:asciiTheme="minorHAnsi" w:hAnsiTheme="minorHAnsi" w:cstheme="minorHAnsi"/>
          <w:i/>
          <w:iCs/>
          <w:sz w:val="22"/>
          <w:szCs w:val="22"/>
        </w:rPr>
        <w:t xml:space="preserve"> J Psych Med </w:t>
      </w:r>
      <w:r w:rsidRPr="003D0430">
        <w:rPr>
          <w:rFonts w:asciiTheme="minorHAnsi" w:hAnsiTheme="minorHAnsi" w:cstheme="minorHAnsi"/>
          <w:sz w:val="22"/>
          <w:szCs w:val="22"/>
        </w:rPr>
        <w:t>24(3): 89-93.</w:t>
      </w:r>
    </w:p>
    <w:p w14:paraId="082B000C" w14:textId="77777777" w:rsidR="003D0430" w:rsidRPr="003D0430" w:rsidRDefault="003D0430" w:rsidP="0098395C">
      <w:pPr>
        <w:adjustRightInd w:val="0"/>
        <w:rPr>
          <w:rFonts w:asciiTheme="minorHAnsi" w:hAnsiTheme="minorHAnsi" w:cstheme="minorHAnsi"/>
          <w:sz w:val="22"/>
          <w:szCs w:val="22"/>
        </w:rPr>
      </w:pPr>
    </w:p>
    <w:p w14:paraId="0F835384" w14:textId="2382F53B" w:rsidR="0098395C" w:rsidRPr="003D0430" w:rsidRDefault="0098395C" w:rsidP="0098395C">
      <w:pPr>
        <w:rPr>
          <w:rFonts w:asciiTheme="minorHAnsi" w:hAnsiTheme="minorHAnsi" w:cstheme="minorHAnsi"/>
          <w:sz w:val="22"/>
          <w:szCs w:val="22"/>
        </w:rPr>
      </w:pPr>
      <w:r w:rsidRPr="003D0430">
        <w:rPr>
          <w:rFonts w:asciiTheme="minorHAnsi" w:hAnsiTheme="minorHAnsi" w:cstheme="minorHAnsi"/>
          <w:sz w:val="22"/>
          <w:szCs w:val="22"/>
        </w:rPr>
        <w:t>Welsh Government</w:t>
      </w:r>
      <w:r w:rsidR="001165AA" w:rsidRPr="003D0430">
        <w:rPr>
          <w:rFonts w:asciiTheme="minorHAnsi" w:hAnsiTheme="minorHAnsi" w:cstheme="minorHAnsi"/>
          <w:sz w:val="22"/>
          <w:szCs w:val="22"/>
        </w:rPr>
        <w:t>.</w:t>
      </w:r>
      <w:r w:rsidRPr="003D0430">
        <w:rPr>
          <w:rFonts w:asciiTheme="minorHAnsi" w:hAnsiTheme="minorHAnsi" w:cstheme="minorHAnsi"/>
          <w:sz w:val="22"/>
          <w:szCs w:val="22"/>
        </w:rPr>
        <w:t xml:space="preserve"> (2018). </w:t>
      </w:r>
      <w:hyperlink r:id="rId19" w:history="1">
        <w:r w:rsidRPr="003D0430">
          <w:rPr>
            <w:rStyle w:val="Hyperlink"/>
            <w:rFonts w:asciiTheme="minorHAnsi" w:hAnsiTheme="minorHAnsi" w:cstheme="minorHAnsi"/>
            <w:sz w:val="22"/>
            <w:szCs w:val="22"/>
          </w:rPr>
          <w:t>Dementia Action Plan for Wales.</w:t>
        </w:r>
      </w:hyperlink>
      <w:r w:rsidRPr="003D0430">
        <w:rPr>
          <w:rFonts w:asciiTheme="minorHAnsi" w:hAnsiTheme="minorHAnsi" w:cstheme="minorHAnsi"/>
          <w:sz w:val="22"/>
          <w:szCs w:val="22"/>
        </w:rPr>
        <w:t xml:space="preserve"> [online]. [Accessed 25 February 2022]. </w:t>
      </w:r>
    </w:p>
    <w:p w14:paraId="3C27A294" w14:textId="77777777" w:rsidR="0098395C" w:rsidRPr="003D0430" w:rsidRDefault="0098395C" w:rsidP="0098395C">
      <w:pPr>
        <w:rPr>
          <w:rFonts w:asciiTheme="minorHAnsi" w:hAnsiTheme="minorHAnsi" w:cstheme="minorHAnsi"/>
          <w:sz w:val="22"/>
          <w:szCs w:val="22"/>
        </w:rPr>
      </w:pPr>
    </w:p>
    <w:p w14:paraId="5794E75F" w14:textId="7206AA07" w:rsidR="0098395C" w:rsidRPr="003D0430" w:rsidRDefault="0098395C" w:rsidP="0098395C">
      <w:pPr>
        <w:rPr>
          <w:rFonts w:asciiTheme="minorHAnsi" w:hAnsiTheme="minorHAnsi" w:cstheme="minorHAnsi"/>
          <w:sz w:val="22"/>
          <w:szCs w:val="22"/>
        </w:rPr>
      </w:pPr>
      <w:r w:rsidRPr="003D0430">
        <w:rPr>
          <w:rFonts w:asciiTheme="minorHAnsi" w:hAnsiTheme="minorHAnsi" w:cstheme="minorHAnsi"/>
          <w:sz w:val="22"/>
          <w:szCs w:val="22"/>
        </w:rPr>
        <w:t>Welsh Government</w:t>
      </w:r>
      <w:r w:rsidR="001165AA" w:rsidRPr="003D0430">
        <w:rPr>
          <w:rFonts w:asciiTheme="minorHAnsi" w:hAnsiTheme="minorHAnsi" w:cstheme="minorHAnsi"/>
          <w:sz w:val="22"/>
          <w:szCs w:val="22"/>
        </w:rPr>
        <w:t>.</w:t>
      </w:r>
      <w:r w:rsidRPr="003D0430">
        <w:rPr>
          <w:rFonts w:asciiTheme="minorHAnsi" w:hAnsiTheme="minorHAnsi" w:cstheme="minorHAnsi"/>
          <w:sz w:val="22"/>
          <w:szCs w:val="22"/>
        </w:rPr>
        <w:t xml:space="preserve"> (2019). </w:t>
      </w:r>
      <w:hyperlink r:id="rId20" w:history="1">
        <w:r w:rsidRPr="003D0430">
          <w:rPr>
            <w:rStyle w:val="Hyperlink"/>
            <w:rFonts w:asciiTheme="minorHAnsi" w:hAnsiTheme="minorHAnsi" w:cstheme="minorHAnsi"/>
            <w:sz w:val="22"/>
            <w:szCs w:val="22"/>
          </w:rPr>
          <w:t>Together for Mental Health Delivery Plan 2019-22</w:t>
        </w:r>
      </w:hyperlink>
      <w:r w:rsidRPr="003D0430">
        <w:rPr>
          <w:rFonts w:asciiTheme="minorHAnsi" w:hAnsiTheme="minorHAnsi" w:cstheme="minorHAnsi"/>
          <w:sz w:val="22"/>
          <w:szCs w:val="22"/>
        </w:rPr>
        <w:t xml:space="preserve"> [online]. [Accessed 25 February 2022]. </w:t>
      </w:r>
    </w:p>
    <w:p w14:paraId="067D1F07" w14:textId="77777777" w:rsidR="0098395C" w:rsidRPr="003D0430" w:rsidRDefault="0098395C" w:rsidP="0098395C">
      <w:pPr>
        <w:rPr>
          <w:rFonts w:asciiTheme="minorHAnsi" w:hAnsiTheme="minorHAnsi" w:cstheme="minorHAnsi"/>
          <w:sz w:val="22"/>
          <w:szCs w:val="22"/>
        </w:rPr>
      </w:pPr>
    </w:p>
    <w:p w14:paraId="6DDDFA66" w14:textId="04B5C755" w:rsidR="00350039" w:rsidRPr="003D0430" w:rsidRDefault="00350039" w:rsidP="00781D04">
      <w:pPr>
        <w:pStyle w:val="ydpf42a50a8msonormal"/>
        <w:spacing w:before="0" w:beforeAutospacing="0" w:after="0" w:afterAutospacing="0"/>
        <w:rPr>
          <w:rFonts w:asciiTheme="minorHAnsi" w:hAnsiTheme="minorHAnsi" w:cstheme="minorHAnsi"/>
          <w:shd w:val="clear" w:color="auto" w:fill="FFFFFF"/>
        </w:rPr>
      </w:pPr>
      <w:r w:rsidRPr="003D0430">
        <w:rPr>
          <w:rFonts w:asciiTheme="minorHAnsi" w:hAnsiTheme="minorHAnsi" w:cstheme="minorHAnsi"/>
          <w:shd w:val="clear" w:color="auto" w:fill="FFFFFF"/>
        </w:rPr>
        <w:t xml:space="preserve">Zeeman, L., Sherriff, N., </w:t>
      </w:r>
      <w:proofErr w:type="spellStart"/>
      <w:r w:rsidRPr="003D0430">
        <w:rPr>
          <w:rFonts w:asciiTheme="minorHAnsi" w:hAnsiTheme="minorHAnsi" w:cstheme="minorHAnsi"/>
          <w:shd w:val="clear" w:color="auto" w:fill="FFFFFF"/>
        </w:rPr>
        <w:t>Brownse</w:t>
      </w:r>
      <w:proofErr w:type="spellEnd"/>
      <w:r w:rsidRPr="003D0430">
        <w:rPr>
          <w:rFonts w:asciiTheme="minorHAnsi" w:hAnsiTheme="minorHAnsi" w:cstheme="minorHAnsi"/>
          <w:shd w:val="clear" w:color="auto" w:fill="FFFFFF"/>
        </w:rPr>
        <w:t>, K., McGlynn, N., Mirandola, M. et al (2019)</w:t>
      </w:r>
      <w:r w:rsidR="001165AA" w:rsidRPr="003D0430">
        <w:rPr>
          <w:rFonts w:asciiTheme="minorHAnsi" w:hAnsiTheme="minorHAnsi" w:cstheme="minorHAnsi"/>
          <w:shd w:val="clear" w:color="auto" w:fill="FFFFFF"/>
        </w:rPr>
        <w:t>.</w:t>
      </w:r>
      <w:r w:rsidRPr="003D0430">
        <w:rPr>
          <w:rFonts w:asciiTheme="minorHAnsi" w:hAnsiTheme="minorHAnsi" w:cstheme="minorHAnsi"/>
          <w:shd w:val="clear" w:color="auto" w:fill="FFFFFF"/>
        </w:rPr>
        <w:t> </w:t>
      </w:r>
      <w:hyperlink r:id="rId21" w:history="1">
        <w:r w:rsidRPr="003D0430">
          <w:rPr>
            <w:rStyle w:val="Hyperlink"/>
            <w:rFonts w:asciiTheme="minorHAnsi" w:hAnsiTheme="minorHAnsi" w:cstheme="minorHAnsi"/>
            <w:b/>
            <w:bCs/>
            <w:color w:val="auto"/>
            <w:shd w:val="clear" w:color="auto" w:fill="FFFFFF"/>
          </w:rPr>
          <w:t>A review of lesbian, gay, bisexual, trans and intersex (LGBTI) health and healthcare inequalities.</w:t>
        </w:r>
      </w:hyperlink>
      <w:r w:rsidRPr="003D0430">
        <w:rPr>
          <w:rFonts w:asciiTheme="minorHAnsi" w:hAnsiTheme="minorHAnsi" w:cstheme="minorHAnsi"/>
          <w:shd w:val="clear" w:color="auto" w:fill="FFFFFF"/>
        </w:rPr>
        <w:t> </w:t>
      </w:r>
      <w:r w:rsidRPr="003D0430">
        <w:rPr>
          <w:rStyle w:val="Emphasis"/>
          <w:rFonts w:asciiTheme="minorHAnsi" w:hAnsiTheme="minorHAnsi" w:cstheme="minorHAnsi"/>
          <w:shd w:val="clear" w:color="auto" w:fill="FFFFFF"/>
        </w:rPr>
        <w:t>European Journal of Public Health.</w:t>
      </w:r>
      <w:r w:rsidRPr="003D0430">
        <w:rPr>
          <w:rFonts w:asciiTheme="minorHAnsi" w:hAnsiTheme="minorHAnsi" w:cstheme="minorHAnsi"/>
          <w:shd w:val="clear" w:color="auto" w:fill="FFFFFF"/>
        </w:rPr>
        <w:t> 29 (5), 974-980. DOI: 10.1093/</w:t>
      </w:r>
      <w:proofErr w:type="spellStart"/>
      <w:r w:rsidRPr="003D0430">
        <w:rPr>
          <w:rFonts w:asciiTheme="minorHAnsi" w:hAnsiTheme="minorHAnsi" w:cstheme="minorHAnsi"/>
          <w:shd w:val="clear" w:color="auto" w:fill="FFFFFF"/>
        </w:rPr>
        <w:t>eurpub</w:t>
      </w:r>
      <w:proofErr w:type="spellEnd"/>
      <w:r w:rsidRPr="003D0430">
        <w:rPr>
          <w:rFonts w:asciiTheme="minorHAnsi" w:hAnsiTheme="minorHAnsi" w:cstheme="minorHAnsi"/>
          <w:shd w:val="clear" w:color="auto" w:fill="FFFFFF"/>
        </w:rPr>
        <w:t>/cky226</w:t>
      </w:r>
    </w:p>
    <w:p w14:paraId="5B2CF924" w14:textId="77777777" w:rsidR="00350039" w:rsidRPr="003D0430" w:rsidRDefault="00350039" w:rsidP="00781D04">
      <w:pPr>
        <w:pStyle w:val="ydpf42a50a8msonormal"/>
        <w:spacing w:before="0" w:beforeAutospacing="0" w:after="0" w:afterAutospacing="0"/>
        <w:rPr>
          <w:rFonts w:asciiTheme="minorHAnsi" w:hAnsiTheme="minorHAnsi" w:cstheme="minorHAnsi"/>
          <w:shd w:val="clear" w:color="auto" w:fill="FFFFFF"/>
        </w:rPr>
      </w:pPr>
    </w:p>
    <w:sectPr w:rsidR="00350039" w:rsidRPr="003D0430">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76705" w14:textId="77777777" w:rsidR="000E15BF" w:rsidRDefault="000E15BF" w:rsidP="002F0456">
      <w:r>
        <w:separator/>
      </w:r>
    </w:p>
  </w:endnote>
  <w:endnote w:type="continuationSeparator" w:id="0">
    <w:p w14:paraId="2D8ABE66" w14:textId="77777777" w:rsidR="000E15BF" w:rsidRDefault="000E15BF" w:rsidP="002F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ontserrat">
    <w:charset w:val="00"/>
    <w:family w:val="auto"/>
    <w:pitch w:val="variable"/>
    <w:sig w:usb0="2000020F" w:usb1="00000003" w:usb2="00000000" w:usb3="00000000" w:csb0="00000197"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41966"/>
      <w:docPartObj>
        <w:docPartGallery w:val="Page Numbers (Bottom of Page)"/>
        <w:docPartUnique/>
      </w:docPartObj>
    </w:sdtPr>
    <w:sdtEndPr>
      <w:rPr>
        <w:noProof/>
      </w:rPr>
    </w:sdtEndPr>
    <w:sdtContent>
      <w:p w14:paraId="785928E1" w14:textId="138B2A56" w:rsidR="002F0456" w:rsidRDefault="002F04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64EDB6" w14:textId="77777777" w:rsidR="002F0456" w:rsidRDefault="002F0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A2C24" w14:textId="77777777" w:rsidR="000E15BF" w:rsidRDefault="000E15BF" w:rsidP="002F0456">
      <w:r>
        <w:separator/>
      </w:r>
    </w:p>
  </w:footnote>
  <w:footnote w:type="continuationSeparator" w:id="0">
    <w:p w14:paraId="5F599F96" w14:textId="77777777" w:rsidR="000E15BF" w:rsidRDefault="000E15BF" w:rsidP="002F0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372BD"/>
    <w:multiLevelType w:val="hybridMultilevel"/>
    <w:tmpl w:val="1DB620A6"/>
    <w:lvl w:ilvl="0" w:tplc="9C4EE910">
      <w:start w:val="1"/>
      <w:numFmt w:val="decimal"/>
      <w:lvlText w:val="%1."/>
      <w:lvlJc w:val="left"/>
      <w:pPr>
        <w:ind w:left="785"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2D64D1"/>
    <w:multiLevelType w:val="hybridMultilevel"/>
    <w:tmpl w:val="C450E1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AD4D90"/>
    <w:multiLevelType w:val="hybridMultilevel"/>
    <w:tmpl w:val="C6A06DF4"/>
    <w:lvl w:ilvl="0" w:tplc="3A7625E2">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 w15:restartNumberingAfterBreak="0">
    <w:nsid w:val="2C3F3588"/>
    <w:multiLevelType w:val="hybridMultilevel"/>
    <w:tmpl w:val="7C681312"/>
    <w:lvl w:ilvl="0" w:tplc="B9463FDE">
      <w:numFmt w:val="bullet"/>
      <w:lvlText w:val="-"/>
      <w:lvlJc w:val="left"/>
      <w:pPr>
        <w:ind w:left="1530" w:hanging="360"/>
      </w:pPr>
      <w:rPr>
        <w:rFonts w:ascii="Calibri" w:eastAsia="Calibri" w:hAnsi="Calibri" w:cs="Calibri" w:hint="default"/>
      </w:rPr>
    </w:lvl>
    <w:lvl w:ilvl="1" w:tplc="08090003">
      <w:start w:val="1"/>
      <w:numFmt w:val="bullet"/>
      <w:lvlText w:val="o"/>
      <w:lvlJc w:val="left"/>
      <w:pPr>
        <w:ind w:left="2250" w:hanging="360"/>
      </w:pPr>
      <w:rPr>
        <w:rFonts w:ascii="Courier New" w:hAnsi="Courier New" w:cs="Courier New" w:hint="default"/>
      </w:rPr>
    </w:lvl>
    <w:lvl w:ilvl="2" w:tplc="08090005">
      <w:start w:val="1"/>
      <w:numFmt w:val="bullet"/>
      <w:lvlText w:val=""/>
      <w:lvlJc w:val="left"/>
      <w:pPr>
        <w:ind w:left="2970" w:hanging="360"/>
      </w:pPr>
      <w:rPr>
        <w:rFonts w:ascii="Wingdings" w:hAnsi="Wingdings" w:hint="default"/>
      </w:rPr>
    </w:lvl>
    <w:lvl w:ilvl="3" w:tplc="08090001">
      <w:start w:val="1"/>
      <w:numFmt w:val="bullet"/>
      <w:lvlText w:val=""/>
      <w:lvlJc w:val="left"/>
      <w:pPr>
        <w:ind w:left="3690" w:hanging="360"/>
      </w:pPr>
      <w:rPr>
        <w:rFonts w:ascii="Symbol" w:hAnsi="Symbol" w:hint="default"/>
      </w:rPr>
    </w:lvl>
    <w:lvl w:ilvl="4" w:tplc="08090003">
      <w:start w:val="1"/>
      <w:numFmt w:val="bullet"/>
      <w:lvlText w:val="o"/>
      <w:lvlJc w:val="left"/>
      <w:pPr>
        <w:ind w:left="4410" w:hanging="360"/>
      </w:pPr>
      <w:rPr>
        <w:rFonts w:ascii="Courier New" w:hAnsi="Courier New" w:cs="Courier New" w:hint="default"/>
      </w:rPr>
    </w:lvl>
    <w:lvl w:ilvl="5" w:tplc="08090005">
      <w:start w:val="1"/>
      <w:numFmt w:val="bullet"/>
      <w:lvlText w:val=""/>
      <w:lvlJc w:val="left"/>
      <w:pPr>
        <w:ind w:left="5130" w:hanging="360"/>
      </w:pPr>
      <w:rPr>
        <w:rFonts w:ascii="Wingdings" w:hAnsi="Wingdings" w:hint="default"/>
      </w:rPr>
    </w:lvl>
    <w:lvl w:ilvl="6" w:tplc="08090001">
      <w:start w:val="1"/>
      <w:numFmt w:val="bullet"/>
      <w:lvlText w:val=""/>
      <w:lvlJc w:val="left"/>
      <w:pPr>
        <w:ind w:left="5850" w:hanging="360"/>
      </w:pPr>
      <w:rPr>
        <w:rFonts w:ascii="Symbol" w:hAnsi="Symbol" w:hint="default"/>
      </w:rPr>
    </w:lvl>
    <w:lvl w:ilvl="7" w:tplc="08090003">
      <w:start w:val="1"/>
      <w:numFmt w:val="bullet"/>
      <w:lvlText w:val="o"/>
      <w:lvlJc w:val="left"/>
      <w:pPr>
        <w:ind w:left="6570" w:hanging="360"/>
      </w:pPr>
      <w:rPr>
        <w:rFonts w:ascii="Courier New" w:hAnsi="Courier New" w:cs="Courier New" w:hint="default"/>
      </w:rPr>
    </w:lvl>
    <w:lvl w:ilvl="8" w:tplc="08090005">
      <w:start w:val="1"/>
      <w:numFmt w:val="bullet"/>
      <w:lvlText w:val=""/>
      <w:lvlJc w:val="left"/>
      <w:pPr>
        <w:ind w:left="7290" w:hanging="360"/>
      </w:pPr>
      <w:rPr>
        <w:rFonts w:ascii="Wingdings" w:hAnsi="Wingdings" w:hint="default"/>
      </w:rPr>
    </w:lvl>
  </w:abstractNum>
  <w:abstractNum w:abstractNumId="4" w15:restartNumberingAfterBreak="0">
    <w:nsid w:val="329C3DC9"/>
    <w:multiLevelType w:val="hybridMultilevel"/>
    <w:tmpl w:val="2D64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8C1EDF"/>
    <w:multiLevelType w:val="hybridMultilevel"/>
    <w:tmpl w:val="C562B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417E04"/>
    <w:multiLevelType w:val="hybridMultilevel"/>
    <w:tmpl w:val="3BA80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0F7654"/>
    <w:multiLevelType w:val="hybridMultilevel"/>
    <w:tmpl w:val="F0548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C91A1B"/>
    <w:multiLevelType w:val="hybridMultilevel"/>
    <w:tmpl w:val="69660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281985"/>
    <w:multiLevelType w:val="multilevel"/>
    <w:tmpl w:val="8F44A6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77630A"/>
    <w:multiLevelType w:val="hybridMultilevel"/>
    <w:tmpl w:val="C6A06DF4"/>
    <w:lvl w:ilvl="0" w:tplc="FFFFFFFF">
      <w:start w:val="1"/>
      <w:numFmt w:val="decimal"/>
      <w:lvlText w:val="%1."/>
      <w:lvlJc w:val="left"/>
      <w:pPr>
        <w:ind w:left="1145" w:hanging="360"/>
      </w:pPr>
      <w:rPr>
        <w:rFonts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1" w15:restartNumberingAfterBreak="0">
    <w:nsid w:val="753A7BE6"/>
    <w:multiLevelType w:val="hybridMultilevel"/>
    <w:tmpl w:val="EB803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6D314B"/>
    <w:multiLevelType w:val="hybridMultilevel"/>
    <w:tmpl w:val="3C82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4"/>
  </w:num>
  <w:num w:numId="5">
    <w:abstractNumId w:val="6"/>
  </w:num>
  <w:num w:numId="6">
    <w:abstractNumId w:val="11"/>
  </w:num>
  <w:num w:numId="7">
    <w:abstractNumId w:val="3"/>
  </w:num>
  <w:num w:numId="8">
    <w:abstractNumId w:val="3"/>
  </w:num>
  <w:num w:numId="9">
    <w:abstractNumId w:val="1"/>
  </w:num>
  <w:num w:numId="10">
    <w:abstractNumId w:val="8"/>
  </w:num>
  <w:num w:numId="11">
    <w:abstractNumId w:val="7"/>
  </w:num>
  <w:num w:numId="12">
    <w:abstractNumId w:val="10"/>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D04"/>
    <w:rsid w:val="00046A82"/>
    <w:rsid w:val="00047E18"/>
    <w:rsid w:val="000C3378"/>
    <w:rsid w:val="000D0BC8"/>
    <w:rsid w:val="000E15BF"/>
    <w:rsid w:val="001165AA"/>
    <w:rsid w:val="001B2FA6"/>
    <w:rsid w:val="00222C36"/>
    <w:rsid w:val="00273892"/>
    <w:rsid w:val="002F0456"/>
    <w:rsid w:val="00317699"/>
    <w:rsid w:val="00323AC2"/>
    <w:rsid w:val="0034330F"/>
    <w:rsid w:val="00350039"/>
    <w:rsid w:val="003D0430"/>
    <w:rsid w:val="00460024"/>
    <w:rsid w:val="00477673"/>
    <w:rsid w:val="004E16B1"/>
    <w:rsid w:val="004F6E4F"/>
    <w:rsid w:val="00573C07"/>
    <w:rsid w:val="005E66BB"/>
    <w:rsid w:val="0064294A"/>
    <w:rsid w:val="00681802"/>
    <w:rsid w:val="00683994"/>
    <w:rsid w:val="00733F98"/>
    <w:rsid w:val="00743644"/>
    <w:rsid w:val="00781D04"/>
    <w:rsid w:val="00790EF8"/>
    <w:rsid w:val="007A08EF"/>
    <w:rsid w:val="00812A39"/>
    <w:rsid w:val="00830124"/>
    <w:rsid w:val="00834896"/>
    <w:rsid w:val="00855DEC"/>
    <w:rsid w:val="00933BDE"/>
    <w:rsid w:val="009372C3"/>
    <w:rsid w:val="0098395C"/>
    <w:rsid w:val="0099785A"/>
    <w:rsid w:val="009D098A"/>
    <w:rsid w:val="00A86049"/>
    <w:rsid w:val="00A93A8D"/>
    <w:rsid w:val="00B3234A"/>
    <w:rsid w:val="00B53169"/>
    <w:rsid w:val="00B73F60"/>
    <w:rsid w:val="00B94BA0"/>
    <w:rsid w:val="00C31FFE"/>
    <w:rsid w:val="00D56637"/>
    <w:rsid w:val="00D65747"/>
    <w:rsid w:val="00D96C5A"/>
    <w:rsid w:val="00DE71D1"/>
    <w:rsid w:val="00E2718F"/>
    <w:rsid w:val="00E52EAD"/>
    <w:rsid w:val="00E6470A"/>
    <w:rsid w:val="00E9221E"/>
    <w:rsid w:val="00EB19C5"/>
    <w:rsid w:val="00FC6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6711"/>
  <w15:chartTrackingRefBased/>
  <w15:docId w15:val="{FE693EB3-2456-498D-AF89-99CCD3E7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5A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96C5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D04"/>
    <w:rPr>
      <w:color w:val="0000FF"/>
      <w:u w:val="single"/>
    </w:rPr>
  </w:style>
  <w:style w:type="paragraph" w:styleId="NormalWeb">
    <w:name w:val="Normal (Web)"/>
    <w:basedOn w:val="Normal"/>
    <w:uiPriority w:val="99"/>
    <w:unhideWhenUsed/>
    <w:rsid w:val="00781D04"/>
    <w:rPr>
      <w:rFonts w:ascii="Calibri" w:eastAsiaTheme="minorHAnsi" w:hAnsi="Calibri" w:cs="Calibri"/>
      <w:sz w:val="22"/>
      <w:szCs w:val="22"/>
      <w:lang w:eastAsia="en-GB"/>
    </w:rPr>
  </w:style>
  <w:style w:type="paragraph" w:customStyle="1" w:styleId="ydpf42a50a8msonormal">
    <w:name w:val="ydpf42a50a8msonormal"/>
    <w:basedOn w:val="Normal"/>
    <w:uiPriority w:val="99"/>
    <w:semiHidden/>
    <w:rsid w:val="00781D04"/>
    <w:pPr>
      <w:spacing w:before="100" w:beforeAutospacing="1" w:after="100" w:afterAutospacing="1"/>
    </w:pPr>
    <w:rPr>
      <w:rFonts w:ascii="Calibri" w:eastAsiaTheme="minorHAnsi" w:hAnsi="Calibri" w:cs="Calibri"/>
      <w:sz w:val="22"/>
      <w:szCs w:val="22"/>
      <w:lang w:eastAsia="en-GB"/>
    </w:rPr>
  </w:style>
  <w:style w:type="paragraph" w:customStyle="1" w:styleId="ydpf42a50a8msolistparagraph">
    <w:name w:val="ydpf42a50a8msolistparagraph"/>
    <w:basedOn w:val="Normal"/>
    <w:uiPriority w:val="99"/>
    <w:semiHidden/>
    <w:rsid w:val="00781D04"/>
    <w:rPr>
      <w:rFonts w:ascii="Calibri" w:eastAsiaTheme="minorHAnsi" w:hAnsi="Calibri" w:cs="Calibri"/>
      <w:sz w:val="22"/>
      <w:szCs w:val="22"/>
      <w:lang w:eastAsia="en-GB"/>
    </w:rPr>
  </w:style>
  <w:style w:type="paragraph" w:customStyle="1" w:styleId="ydpf42a50a8msofootnotetext">
    <w:name w:val="ydpf42a50a8msofootnotetext"/>
    <w:basedOn w:val="Normal"/>
    <w:uiPriority w:val="99"/>
    <w:semiHidden/>
    <w:rsid w:val="00781D04"/>
    <w:rPr>
      <w:rFonts w:ascii="Calibri" w:eastAsiaTheme="minorHAnsi" w:hAnsi="Calibri" w:cs="Calibri"/>
      <w:sz w:val="22"/>
      <w:szCs w:val="22"/>
      <w:lang w:eastAsia="en-GB"/>
    </w:rPr>
  </w:style>
  <w:style w:type="paragraph" w:customStyle="1" w:styleId="ydpf42a50a8msoendnotetext">
    <w:name w:val="ydpf42a50a8msoendnotetext"/>
    <w:basedOn w:val="Normal"/>
    <w:uiPriority w:val="99"/>
    <w:semiHidden/>
    <w:rsid w:val="00781D04"/>
    <w:rPr>
      <w:rFonts w:ascii="Calibri" w:eastAsiaTheme="minorHAnsi" w:hAnsi="Calibri" w:cs="Calibri"/>
      <w:sz w:val="22"/>
      <w:szCs w:val="22"/>
      <w:lang w:eastAsia="en-GB"/>
    </w:rPr>
  </w:style>
  <w:style w:type="paragraph" w:styleId="ListParagraph">
    <w:name w:val="List Paragraph"/>
    <w:basedOn w:val="Normal"/>
    <w:uiPriority w:val="34"/>
    <w:qFormat/>
    <w:rsid w:val="009D098A"/>
    <w:pPr>
      <w:ind w:left="720"/>
      <w:contextualSpacing/>
    </w:pPr>
    <w:rPr>
      <w:rFonts w:ascii="Calibri" w:eastAsiaTheme="minorHAnsi" w:hAnsi="Calibri" w:cs="Calibri"/>
      <w:sz w:val="22"/>
      <w:szCs w:val="22"/>
      <w:lang w:eastAsia="en-GB"/>
    </w:rPr>
  </w:style>
  <w:style w:type="paragraph" w:styleId="Header">
    <w:name w:val="header"/>
    <w:basedOn w:val="Normal"/>
    <w:link w:val="HeaderChar"/>
    <w:uiPriority w:val="99"/>
    <w:unhideWhenUsed/>
    <w:rsid w:val="002F0456"/>
    <w:pPr>
      <w:tabs>
        <w:tab w:val="center" w:pos="4513"/>
        <w:tab w:val="right" w:pos="9026"/>
      </w:tabs>
    </w:pPr>
    <w:rPr>
      <w:rFonts w:ascii="Calibri" w:eastAsiaTheme="minorHAnsi" w:hAnsi="Calibri" w:cs="Calibri"/>
      <w:sz w:val="22"/>
      <w:szCs w:val="22"/>
      <w:lang w:eastAsia="en-GB"/>
    </w:rPr>
  </w:style>
  <w:style w:type="character" w:customStyle="1" w:styleId="HeaderChar">
    <w:name w:val="Header Char"/>
    <w:basedOn w:val="DefaultParagraphFont"/>
    <w:link w:val="Header"/>
    <w:uiPriority w:val="99"/>
    <w:rsid w:val="002F0456"/>
    <w:rPr>
      <w:rFonts w:ascii="Calibri" w:hAnsi="Calibri" w:cs="Calibri"/>
      <w:lang w:eastAsia="en-GB"/>
    </w:rPr>
  </w:style>
  <w:style w:type="paragraph" w:styleId="Footer">
    <w:name w:val="footer"/>
    <w:basedOn w:val="Normal"/>
    <w:link w:val="FooterChar"/>
    <w:uiPriority w:val="99"/>
    <w:unhideWhenUsed/>
    <w:rsid w:val="002F0456"/>
    <w:pPr>
      <w:tabs>
        <w:tab w:val="center" w:pos="4513"/>
        <w:tab w:val="right" w:pos="9026"/>
      </w:tabs>
    </w:pPr>
    <w:rPr>
      <w:rFonts w:ascii="Calibri" w:eastAsiaTheme="minorHAnsi" w:hAnsi="Calibri" w:cs="Calibri"/>
      <w:sz w:val="22"/>
      <w:szCs w:val="22"/>
      <w:lang w:eastAsia="en-GB"/>
    </w:rPr>
  </w:style>
  <w:style w:type="character" w:customStyle="1" w:styleId="FooterChar">
    <w:name w:val="Footer Char"/>
    <w:basedOn w:val="DefaultParagraphFont"/>
    <w:link w:val="Footer"/>
    <w:uiPriority w:val="99"/>
    <w:rsid w:val="002F0456"/>
    <w:rPr>
      <w:rFonts w:ascii="Calibri" w:hAnsi="Calibri" w:cs="Calibri"/>
      <w:lang w:eastAsia="en-GB"/>
    </w:rPr>
  </w:style>
  <w:style w:type="character" w:styleId="UnresolvedMention">
    <w:name w:val="Unresolved Mention"/>
    <w:basedOn w:val="DefaultParagraphFont"/>
    <w:uiPriority w:val="99"/>
    <w:semiHidden/>
    <w:unhideWhenUsed/>
    <w:rsid w:val="00B53169"/>
    <w:rPr>
      <w:color w:val="605E5C"/>
      <w:shd w:val="clear" w:color="auto" w:fill="E1DFDD"/>
    </w:rPr>
  </w:style>
  <w:style w:type="character" w:styleId="FootnoteReference">
    <w:name w:val="footnote reference"/>
    <w:basedOn w:val="DefaultParagraphFont"/>
    <w:uiPriority w:val="99"/>
    <w:semiHidden/>
    <w:unhideWhenUsed/>
    <w:rsid w:val="00743644"/>
    <w:rPr>
      <w:vertAlign w:val="superscript"/>
    </w:rPr>
  </w:style>
  <w:style w:type="paragraph" w:styleId="FootnoteText">
    <w:name w:val="footnote text"/>
    <w:basedOn w:val="Normal"/>
    <w:link w:val="FootnoteTextChar"/>
    <w:uiPriority w:val="99"/>
    <w:semiHidden/>
    <w:unhideWhenUsed/>
    <w:rsid w:val="0074364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43644"/>
    <w:rPr>
      <w:sz w:val="20"/>
      <w:szCs w:val="20"/>
    </w:rPr>
  </w:style>
  <w:style w:type="paragraph" w:customStyle="1" w:styleId="Default">
    <w:name w:val="Default"/>
    <w:rsid w:val="00743644"/>
    <w:pPr>
      <w:autoSpaceDE w:val="0"/>
      <w:autoSpaceDN w:val="0"/>
      <w:adjustRightInd w:val="0"/>
      <w:spacing w:after="0" w:line="240" w:lineRule="auto"/>
    </w:pPr>
    <w:rPr>
      <w:rFonts w:ascii="Lucida Sans Unicode" w:hAnsi="Lucida Sans Unicode" w:cs="Lucida Sans Unicode"/>
      <w:color w:val="000000"/>
      <w:sz w:val="24"/>
      <w:szCs w:val="24"/>
    </w:rPr>
  </w:style>
  <w:style w:type="paragraph" w:styleId="BalloonText">
    <w:name w:val="Balloon Text"/>
    <w:basedOn w:val="Normal"/>
    <w:link w:val="BalloonTextChar"/>
    <w:uiPriority w:val="99"/>
    <w:semiHidden/>
    <w:unhideWhenUsed/>
    <w:rsid w:val="00E6470A"/>
    <w:rPr>
      <w:sz w:val="18"/>
      <w:szCs w:val="18"/>
    </w:rPr>
  </w:style>
  <w:style w:type="character" w:customStyle="1" w:styleId="BalloonTextChar">
    <w:name w:val="Balloon Text Char"/>
    <w:basedOn w:val="DefaultParagraphFont"/>
    <w:link w:val="BalloonText"/>
    <w:uiPriority w:val="99"/>
    <w:semiHidden/>
    <w:rsid w:val="00E6470A"/>
    <w:rPr>
      <w:rFonts w:ascii="Times New Roman" w:hAnsi="Times New Roman" w:cs="Times New Roman"/>
      <w:sz w:val="18"/>
      <w:szCs w:val="18"/>
      <w:lang w:eastAsia="en-GB"/>
    </w:rPr>
  </w:style>
  <w:style w:type="character" w:styleId="CommentReference">
    <w:name w:val="annotation reference"/>
    <w:basedOn w:val="DefaultParagraphFont"/>
    <w:uiPriority w:val="99"/>
    <w:semiHidden/>
    <w:unhideWhenUsed/>
    <w:rsid w:val="00E6470A"/>
    <w:rPr>
      <w:sz w:val="16"/>
      <w:szCs w:val="16"/>
    </w:rPr>
  </w:style>
  <w:style w:type="paragraph" w:styleId="CommentText">
    <w:name w:val="annotation text"/>
    <w:basedOn w:val="Normal"/>
    <w:link w:val="CommentTextChar"/>
    <w:uiPriority w:val="99"/>
    <w:semiHidden/>
    <w:unhideWhenUsed/>
    <w:rsid w:val="00E6470A"/>
    <w:rPr>
      <w:sz w:val="20"/>
      <w:szCs w:val="20"/>
    </w:rPr>
  </w:style>
  <w:style w:type="character" w:customStyle="1" w:styleId="CommentTextChar">
    <w:name w:val="Comment Text Char"/>
    <w:basedOn w:val="DefaultParagraphFont"/>
    <w:link w:val="CommentText"/>
    <w:uiPriority w:val="99"/>
    <w:semiHidden/>
    <w:rsid w:val="00E6470A"/>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E6470A"/>
    <w:rPr>
      <w:b/>
      <w:bCs/>
    </w:rPr>
  </w:style>
  <w:style w:type="character" w:customStyle="1" w:styleId="CommentSubjectChar">
    <w:name w:val="Comment Subject Char"/>
    <w:basedOn w:val="CommentTextChar"/>
    <w:link w:val="CommentSubject"/>
    <w:uiPriority w:val="99"/>
    <w:semiHidden/>
    <w:rsid w:val="00E6470A"/>
    <w:rPr>
      <w:rFonts w:ascii="Calibri" w:hAnsi="Calibri" w:cs="Calibri"/>
      <w:b/>
      <w:bCs/>
      <w:sz w:val="20"/>
      <w:szCs w:val="20"/>
      <w:lang w:eastAsia="en-GB"/>
    </w:rPr>
  </w:style>
  <w:style w:type="paragraph" w:styleId="Revision">
    <w:name w:val="Revision"/>
    <w:hidden/>
    <w:uiPriority w:val="99"/>
    <w:semiHidden/>
    <w:rsid w:val="00FC6C9A"/>
    <w:pPr>
      <w:spacing w:after="0" w:line="240" w:lineRule="auto"/>
    </w:pPr>
    <w:rPr>
      <w:rFonts w:ascii="Calibri" w:hAnsi="Calibri" w:cs="Calibri"/>
      <w:lang w:eastAsia="en-GB"/>
    </w:rPr>
  </w:style>
  <w:style w:type="character" w:styleId="Emphasis">
    <w:name w:val="Emphasis"/>
    <w:basedOn w:val="DefaultParagraphFont"/>
    <w:uiPriority w:val="20"/>
    <w:qFormat/>
    <w:rsid w:val="00350039"/>
    <w:rPr>
      <w:i/>
      <w:iCs/>
    </w:rPr>
  </w:style>
  <w:style w:type="character" w:styleId="FollowedHyperlink">
    <w:name w:val="FollowedHyperlink"/>
    <w:basedOn w:val="DefaultParagraphFont"/>
    <w:uiPriority w:val="99"/>
    <w:semiHidden/>
    <w:unhideWhenUsed/>
    <w:rsid w:val="00E2718F"/>
    <w:rPr>
      <w:color w:val="954F72" w:themeColor="followedHyperlink"/>
      <w:u w:val="single"/>
    </w:rPr>
  </w:style>
  <w:style w:type="character" w:customStyle="1" w:styleId="authors-list-item">
    <w:name w:val="authors-list-item"/>
    <w:basedOn w:val="DefaultParagraphFont"/>
    <w:rsid w:val="001165AA"/>
  </w:style>
  <w:style w:type="character" w:customStyle="1" w:styleId="author-sup-separator">
    <w:name w:val="author-sup-separator"/>
    <w:basedOn w:val="DefaultParagraphFont"/>
    <w:rsid w:val="001165AA"/>
  </w:style>
  <w:style w:type="character" w:customStyle="1" w:styleId="comma">
    <w:name w:val="comma"/>
    <w:basedOn w:val="DefaultParagraphFont"/>
    <w:rsid w:val="001165AA"/>
  </w:style>
  <w:style w:type="character" w:customStyle="1" w:styleId="Heading1Char">
    <w:name w:val="Heading 1 Char"/>
    <w:basedOn w:val="DefaultParagraphFont"/>
    <w:link w:val="Heading1"/>
    <w:uiPriority w:val="9"/>
    <w:rsid w:val="00D96C5A"/>
    <w:rPr>
      <w:rFonts w:ascii="Times New Roman" w:eastAsia="Times New Roman" w:hAnsi="Times New Roman" w:cs="Times New Roman"/>
      <w:b/>
      <w:bCs/>
      <w:kern w:val="36"/>
      <w:sz w:val="48"/>
      <w:szCs w:val="48"/>
    </w:rPr>
  </w:style>
  <w:style w:type="character" w:customStyle="1" w:styleId="contribdegrees">
    <w:name w:val="contribdegrees"/>
    <w:basedOn w:val="DefaultParagraphFont"/>
    <w:rsid w:val="00D96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2636">
      <w:bodyDiv w:val="1"/>
      <w:marLeft w:val="0"/>
      <w:marRight w:val="0"/>
      <w:marTop w:val="0"/>
      <w:marBottom w:val="0"/>
      <w:divBdr>
        <w:top w:val="none" w:sz="0" w:space="0" w:color="auto"/>
        <w:left w:val="none" w:sz="0" w:space="0" w:color="auto"/>
        <w:bottom w:val="none" w:sz="0" w:space="0" w:color="auto"/>
        <w:right w:val="none" w:sz="0" w:space="0" w:color="auto"/>
      </w:divBdr>
      <w:divsChild>
        <w:div w:id="1889216752">
          <w:marLeft w:val="0"/>
          <w:marRight w:val="0"/>
          <w:marTop w:val="0"/>
          <w:marBottom w:val="0"/>
          <w:divBdr>
            <w:top w:val="none" w:sz="0" w:space="0" w:color="auto"/>
            <w:left w:val="none" w:sz="0" w:space="0" w:color="auto"/>
            <w:bottom w:val="none" w:sz="0" w:space="0" w:color="auto"/>
            <w:right w:val="none" w:sz="0" w:space="0" w:color="auto"/>
          </w:divBdr>
          <w:divsChild>
            <w:div w:id="1195579256">
              <w:marLeft w:val="0"/>
              <w:marRight w:val="0"/>
              <w:marTop w:val="0"/>
              <w:marBottom w:val="0"/>
              <w:divBdr>
                <w:top w:val="none" w:sz="0" w:space="0" w:color="auto"/>
                <w:left w:val="none" w:sz="0" w:space="0" w:color="auto"/>
                <w:bottom w:val="none" w:sz="0" w:space="0" w:color="auto"/>
                <w:right w:val="none" w:sz="0" w:space="0" w:color="auto"/>
              </w:divBdr>
            </w:div>
          </w:divsChild>
        </w:div>
        <w:div w:id="1816532040">
          <w:marLeft w:val="0"/>
          <w:marRight w:val="0"/>
          <w:marTop w:val="0"/>
          <w:marBottom w:val="150"/>
          <w:divBdr>
            <w:top w:val="none" w:sz="0" w:space="0" w:color="auto"/>
            <w:left w:val="none" w:sz="0" w:space="0" w:color="auto"/>
            <w:bottom w:val="none" w:sz="0" w:space="0" w:color="auto"/>
            <w:right w:val="none" w:sz="0" w:space="0" w:color="auto"/>
          </w:divBdr>
          <w:divsChild>
            <w:div w:id="473988841">
              <w:marLeft w:val="0"/>
              <w:marRight w:val="0"/>
              <w:marTop w:val="0"/>
              <w:marBottom w:val="0"/>
              <w:divBdr>
                <w:top w:val="none" w:sz="0" w:space="0" w:color="auto"/>
                <w:left w:val="none" w:sz="0" w:space="0" w:color="auto"/>
                <w:bottom w:val="none" w:sz="0" w:space="0" w:color="auto"/>
                <w:right w:val="none" w:sz="0" w:space="0" w:color="auto"/>
              </w:divBdr>
              <w:divsChild>
                <w:div w:id="1881627929">
                  <w:marLeft w:val="0"/>
                  <w:marRight w:val="0"/>
                  <w:marTop w:val="0"/>
                  <w:marBottom w:val="0"/>
                  <w:divBdr>
                    <w:top w:val="none" w:sz="0" w:space="0" w:color="auto"/>
                    <w:left w:val="none" w:sz="0" w:space="0" w:color="auto"/>
                    <w:bottom w:val="none" w:sz="0" w:space="0" w:color="auto"/>
                    <w:right w:val="none" w:sz="0" w:space="0" w:color="auto"/>
                  </w:divBdr>
                  <w:divsChild>
                    <w:div w:id="392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874862">
      <w:bodyDiv w:val="1"/>
      <w:marLeft w:val="0"/>
      <w:marRight w:val="0"/>
      <w:marTop w:val="0"/>
      <w:marBottom w:val="0"/>
      <w:divBdr>
        <w:top w:val="none" w:sz="0" w:space="0" w:color="auto"/>
        <w:left w:val="none" w:sz="0" w:space="0" w:color="auto"/>
        <w:bottom w:val="none" w:sz="0" w:space="0" w:color="auto"/>
        <w:right w:val="none" w:sz="0" w:space="0" w:color="auto"/>
      </w:divBdr>
    </w:div>
    <w:div w:id="454061765">
      <w:bodyDiv w:val="1"/>
      <w:marLeft w:val="0"/>
      <w:marRight w:val="0"/>
      <w:marTop w:val="0"/>
      <w:marBottom w:val="0"/>
      <w:divBdr>
        <w:top w:val="none" w:sz="0" w:space="0" w:color="auto"/>
        <w:left w:val="none" w:sz="0" w:space="0" w:color="auto"/>
        <w:bottom w:val="none" w:sz="0" w:space="0" w:color="auto"/>
        <w:right w:val="none" w:sz="0" w:space="0" w:color="auto"/>
      </w:divBdr>
    </w:div>
    <w:div w:id="598416189">
      <w:bodyDiv w:val="1"/>
      <w:marLeft w:val="0"/>
      <w:marRight w:val="0"/>
      <w:marTop w:val="0"/>
      <w:marBottom w:val="0"/>
      <w:divBdr>
        <w:top w:val="none" w:sz="0" w:space="0" w:color="auto"/>
        <w:left w:val="none" w:sz="0" w:space="0" w:color="auto"/>
        <w:bottom w:val="none" w:sz="0" w:space="0" w:color="auto"/>
        <w:right w:val="none" w:sz="0" w:space="0" w:color="auto"/>
      </w:divBdr>
    </w:div>
    <w:div w:id="807359415">
      <w:bodyDiv w:val="1"/>
      <w:marLeft w:val="0"/>
      <w:marRight w:val="0"/>
      <w:marTop w:val="0"/>
      <w:marBottom w:val="0"/>
      <w:divBdr>
        <w:top w:val="none" w:sz="0" w:space="0" w:color="auto"/>
        <w:left w:val="none" w:sz="0" w:space="0" w:color="auto"/>
        <w:bottom w:val="none" w:sz="0" w:space="0" w:color="auto"/>
        <w:right w:val="none" w:sz="0" w:space="0" w:color="auto"/>
      </w:divBdr>
    </w:div>
    <w:div w:id="1683823249">
      <w:bodyDiv w:val="1"/>
      <w:marLeft w:val="0"/>
      <w:marRight w:val="0"/>
      <w:marTop w:val="0"/>
      <w:marBottom w:val="0"/>
      <w:divBdr>
        <w:top w:val="none" w:sz="0" w:space="0" w:color="auto"/>
        <w:left w:val="none" w:sz="0" w:space="0" w:color="auto"/>
        <w:bottom w:val="none" w:sz="0" w:space="0" w:color="auto"/>
        <w:right w:val="none" w:sz="0" w:space="0" w:color="auto"/>
      </w:divBdr>
      <w:divsChild>
        <w:div w:id="1891066954">
          <w:marLeft w:val="0"/>
          <w:marRight w:val="0"/>
          <w:marTop w:val="0"/>
          <w:marBottom w:val="0"/>
          <w:divBdr>
            <w:top w:val="none" w:sz="0" w:space="0" w:color="auto"/>
            <w:left w:val="none" w:sz="0" w:space="0" w:color="auto"/>
            <w:bottom w:val="none" w:sz="0" w:space="0" w:color="auto"/>
            <w:right w:val="none" w:sz="0" w:space="0" w:color="auto"/>
          </w:divBdr>
        </w:div>
        <w:div w:id="178592592">
          <w:marLeft w:val="0"/>
          <w:marRight w:val="0"/>
          <w:marTop w:val="0"/>
          <w:marBottom w:val="0"/>
          <w:divBdr>
            <w:top w:val="none" w:sz="0" w:space="0" w:color="auto"/>
            <w:left w:val="none" w:sz="0" w:space="0" w:color="auto"/>
            <w:bottom w:val="none" w:sz="0" w:space="0" w:color="auto"/>
            <w:right w:val="none" w:sz="0" w:space="0" w:color="auto"/>
          </w:divBdr>
        </w:div>
      </w:divsChild>
    </w:div>
    <w:div w:id="176260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97/00004583-200101000-00019" TargetMode="External"/><Relationship Id="rId18" Type="http://schemas.openxmlformats.org/officeDocument/2006/relationships/hyperlink" Target="https://www.kingsfund.org.uk/publications/tackling-health-inequalities-framework-allied-health-professionals" TargetMode="External"/><Relationship Id="rId3" Type="http://schemas.openxmlformats.org/officeDocument/2006/relationships/styles" Target="styles.xml"/><Relationship Id="rId21" Type="http://schemas.openxmlformats.org/officeDocument/2006/relationships/hyperlink" Target="https://academic.oup.com/eurpub/article/29/5/974/5151209?login=true" TargetMode="External"/><Relationship Id="rId7" Type="http://schemas.openxmlformats.org/officeDocument/2006/relationships/endnotes" Target="endnotes.xml"/><Relationship Id="rId12" Type="http://schemas.openxmlformats.org/officeDocument/2006/relationships/hyperlink" Target="mailto:caroline.walters@rcslt.org" TargetMode="External"/><Relationship Id="rId17" Type="http://schemas.openxmlformats.org/officeDocument/2006/relationships/hyperlink" Target="https://www.kingsfund.org.uk/publications/health-people-ethnic-minority-groups-england" TargetMode="External"/><Relationship Id="rId2" Type="http://schemas.openxmlformats.org/officeDocument/2006/relationships/numbering" Target="numbering.xml"/><Relationship Id="rId16" Type="http://schemas.openxmlformats.org/officeDocument/2006/relationships/hyperlink" Target="https://oapub.org/edu/index.php/ejep/article/view/3656/6291" TargetMode="External"/><Relationship Id="rId20" Type="http://schemas.openxmlformats.org/officeDocument/2006/relationships/hyperlink" Target="https://gov.wales/sites/default/files/publications/2020-01/together-for-mental-health-delivery-plan-2019-to-202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ippa.cotterill@rcslt.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enedd.wales/laid%20documents/cr-ld11556/cr-ld11556-e.pdf" TargetMode="External"/><Relationship Id="rId23" Type="http://schemas.openxmlformats.org/officeDocument/2006/relationships/fontTable" Target="fontTable.xml"/><Relationship Id="rId10" Type="http://schemas.openxmlformats.org/officeDocument/2006/relationships/hyperlink" Target="https://gov.wales/talk-me-speech-language-and-communication-slc-delivery-plan" TargetMode="External"/><Relationship Id="rId19" Type="http://schemas.openxmlformats.org/officeDocument/2006/relationships/hyperlink" Target="https://gov.wales/sites/default/files/publications/2019-04/dementia-action-plan-for-wales.pdf" TargetMode="External"/><Relationship Id="rId4" Type="http://schemas.openxmlformats.org/officeDocument/2006/relationships/settings" Target="settings.xml"/><Relationship Id="rId9" Type="http://schemas.openxmlformats.org/officeDocument/2006/relationships/hyperlink" Target="https://www.kingsfund.org.uk/publications/tackling-health-inequalities-framework-allied-health-professionals" TargetMode="External"/><Relationship Id="rId14" Type="http://schemas.openxmlformats.org/officeDocument/2006/relationships/hyperlink" Target="https://doi.org/10.3390/ijerph18084107"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0876709-149C-3F44-A1C9-EC085D587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3723</Words>
  <Characters>21222</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Walters</dc:creator>
  <cp:keywords/>
  <dc:description/>
  <cp:lastModifiedBy>Naila Noori</cp:lastModifiedBy>
  <cp:revision>2</cp:revision>
  <dcterms:created xsi:type="dcterms:W3CDTF">2022-03-03T13:50:00Z</dcterms:created>
  <dcterms:modified xsi:type="dcterms:W3CDTF">2022-03-03T13:50:00Z</dcterms:modified>
</cp:coreProperties>
</file>