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C6C36E0" w:rsidR="007B4B5C" w:rsidRPr="00376C27" w:rsidRDefault="007A0226" w:rsidP="004A6512">
      <w:pPr>
        <w:spacing w:line="240" w:lineRule="auto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76C27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Skills passports</w:t>
      </w:r>
    </w:p>
    <w:p w14:paraId="5B2191C0" w14:textId="77777777" w:rsidR="004A6512" w:rsidRPr="00376C27" w:rsidRDefault="004A6512" w:rsidP="004A6512">
      <w:pPr>
        <w:spacing w:line="240" w:lineRule="auto"/>
        <w:jc w:val="center"/>
        <w:rPr>
          <w:rFonts w:ascii="Open Sans" w:hAnsi="Open Sans" w:cs="Open Sans"/>
          <w:color w:val="000000" w:themeColor="text1"/>
          <w:sz w:val="28"/>
          <w:szCs w:val="28"/>
        </w:rPr>
      </w:pPr>
    </w:p>
    <w:p w14:paraId="154B0D97" w14:textId="70DFF982" w:rsidR="00305F31" w:rsidRPr="00376C27" w:rsidRDefault="00305F31" w:rsidP="00140F5A">
      <w:pPr>
        <w:spacing w:line="240" w:lineRule="auto"/>
        <w:rPr>
          <w:rFonts w:ascii="Open Sans" w:eastAsia="Verdana" w:hAnsi="Open Sans" w:cs="Open Sans"/>
          <w:bCs/>
          <w:color w:val="000000" w:themeColor="text1"/>
          <w:sz w:val="24"/>
          <w:szCs w:val="24"/>
        </w:rPr>
      </w:pPr>
      <w:r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 xml:space="preserve">The concept of a </w:t>
      </w:r>
      <w:r w:rsidR="00E126A5"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>s</w:t>
      </w:r>
      <w:r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 xml:space="preserve">kills </w:t>
      </w:r>
      <w:r w:rsidR="00E126A5"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>p</w:t>
      </w:r>
      <w:r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 xml:space="preserve">assport </w:t>
      </w:r>
      <w:r w:rsidR="00E126A5"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 xml:space="preserve">is </w:t>
      </w:r>
      <w:r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 xml:space="preserve">taken from the HEE </w:t>
      </w:r>
      <w:hyperlink r:id="rId9" w:history="1">
        <w:r w:rsidR="0058443F" w:rsidRPr="00376C27">
          <w:rPr>
            <w:rStyle w:val="Hyperlink"/>
            <w:rFonts w:ascii="Open Sans" w:eastAsia="Verdana" w:hAnsi="Open Sans" w:cs="Open Sans"/>
            <w:bCs/>
            <w:sz w:val="24"/>
            <w:szCs w:val="24"/>
          </w:rPr>
          <w:t>AHP Support Worker Competency, Education and Career Development Framework</w:t>
        </w:r>
      </w:hyperlink>
      <w:r w:rsidR="0058443F"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  <w:u w:val="single"/>
        </w:rPr>
        <w:t xml:space="preserve"> </w:t>
      </w:r>
      <w:r w:rsidRPr="00376C27">
        <w:rPr>
          <w:rFonts w:ascii="Open Sans" w:eastAsia="Verdana" w:hAnsi="Open Sans" w:cs="Open Sans"/>
          <w:bCs/>
          <w:color w:val="000000" w:themeColor="text1"/>
          <w:sz w:val="24"/>
          <w:szCs w:val="24"/>
        </w:rPr>
        <w:t>and is advocated as a way of recording and demonstrating learning with increased transferability using competency frameworks.</w:t>
      </w:r>
    </w:p>
    <w:p w14:paraId="6E977240" w14:textId="77777777" w:rsidR="006A51B8" w:rsidRPr="00376C27" w:rsidRDefault="006A51B8" w:rsidP="00140F5A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55200896" w14:textId="627C69CE" w:rsidR="00305F31" w:rsidRPr="00376C27" w:rsidRDefault="00305F31" w:rsidP="00140F5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376C27">
        <w:rPr>
          <w:rFonts w:ascii="Open Sans" w:hAnsi="Open Sans" w:cs="Open Sans"/>
          <w:color w:val="000000" w:themeColor="text1"/>
        </w:rPr>
        <w:t xml:space="preserve">One of the challenges and frustrations that AHP support workers face, is that their learning is not always transferrable. One way to address this is to create </w:t>
      </w:r>
      <w:r w:rsidR="005F736E" w:rsidRPr="00376C27">
        <w:rPr>
          <w:rFonts w:ascii="Open Sans" w:hAnsi="Open Sans" w:cs="Open Sans"/>
          <w:color w:val="000000" w:themeColor="text1"/>
        </w:rPr>
        <w:t>s</w:t>
      </w:r>
      <w:r w:rsidRPr="00376C27">
        <w:rPr>
          <w:rFonts w:ascii="Open Sans" w:hAnsi="Open Sans" w:cs="Open Sans"/>
          <w:color w:val="000000" w:themeColor="text1"/>
        </w:rPr>
        <w:t xml:space="preserve">kills </w:t>
      </w:r>
      <w:r w:rsidR="005F736E" w:rsidRPr="00376C27">
        <w:rPr>
          <w:rFonts w:ascii="Open Sans" w:hAnsi="Open Sans" w:cs="Open Sans"/>
          <w:color w:val="000000" w:themeColor="text1"/>
        </w:rPr>
        <w:t>p</w:t>
      </w:r>
      <w:r w:rsidRPr="00376C27">
        <w:rPr>
          <w:rFonts w:ascii="Open Sans" w:hAnsi="Open Sans" w:cs="Open Sans"/>
          <w:color w:val="000000" w:themeColor="text1"/>
        </w:rPr>
        <w:t>assports which allow support workers to record their learning, including trust-specific training packages to support local requirements of their roles. If developed at systems or network level</w:t>
      </w:r>
      <w:r w:rsidR="00EC4BED">
        <w:rPr>
          <w:rFonts w:ascii="Open Sans" w:hAnsi="Open Sans" w:cs="Open Sans"/>
          <w:color w:val="000000" w:themeColor="text1"/>
        </w:rPr>
        <w:t>,</w:t>
      </w:r>
      <w:r w:rsidRPr="00376C27">
        <w:rPr>
          <w:rFonts w:ascii="Open Sans" w:hAnsi="Open Sans" w:cs="Open Sans"/>
          <w:color w:val="000000" w:themeColor="text1"/>
        </w:rPr>
        <w:t xml:space="preserve"> </w:t>
      </w:r>
      <w:r w:rsidR="005F736E" w:rsidRPr="00376C27">
        <w:rPr>
          <w:rFonts w:ascii="Open Sans" w:hAnsi="Open Sans" w:cs="Open Sans"/>
          <w:color w:val="000000" w:themeColor="text1"/>
        </w:rPr>
        <w:t>p</w:t>
      </w:r>
      <w:r w:rsidRPr="00376C27">
        <w:rPr>
          <w:rFonts w:ascii="Open Sans" w:hAnsi="Open Sans" w:cs="Open Sans"/>
          <w:color w:val="000000" w:themeColor="text1"/>
        </w:rPr>
        <w:t xml:space="preserve">assports can be applied across organisations (and boundaries) supporting transferability and reducing transaction costs, such as repeating learning (because employers recognise each other’s learning). This will also assist co-delivery of apprenticeships and support consistency through a common approach to job design. Skills </w:t>
      </w:r>
      <w:r w:rsidR="00922DD0" w:rsidRPr="00376C27">
        <w:rPr>
          <w:rFonts w:ascii="Open Sans" w:hAnsi="Open Sans" w:cs="Open Sans"/>
          <w:color w:val="000000" w:themeColor="text1"/>
        </w:rPr>
        <w:t>p</w:t>
      </w:r>
      <w:r w:rsidRPr="00376C27">
        <w:rPr>
          <w:rFonts w:ascii="Open Sans" w:hAnsi="Open Sans" w:cs="Open Sans"/>
          <w:color w:val="000000" w:themeColor="text1"/>
        </w:rPr>
        <w:t>assports help clarify the boundaries of roles and allow space for recording informal learning.</w:t>
      </w:r>
    </w:p>
    <w:p w14:paraId="5D60F64C" w14:textId="77777777" w:rsidR="006A51B8" w:rsidRPr="00376C27" w:rsidRDefault="006A51B8" w:rsidP="00140F5A">
      <w:pPr>
        <w:spacing w:line="24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6BD5B406" w14:textId="44D1C97B" w:rsidR="006A51B8" w:rsidRPr="00376C27" w:rsidRDefault="006A51B8" w:rsidP="00140F5A">
      <w:pPr>
        <w:spacing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</w:rPr>
      </w:pPr>
      <w:r w:rsidRPr="00376C27">
        <w:rPr>
          <w:rFonts w:ascii="Open Sans" w:eastAsia="Times New Roman" w:hAnsi="Open Sans" w:cs="Open Sans"/>
          <w:color w:val="000000" w:themeColor="text1"/>
          <w:sz w:val="24"/>
          <w:szCs w:val="24"/>
        </w:rPr>
        <w:t xml:space="preserve">*Allied Health Professions’ Support Worker Competency, Education, and Career Development Framework. Realising potential to deliver confident, capable care for the </w:t>
      </w:r>
      <w:proofErr w:type="gramStart"/>
      <w:r w:rsidRPr="00376C27">
        <w:rPr>
          <w:rFonts w:ascii="Open Sans" w:eastAsia="Times New Roman" w:hAnsi="Open Sans" w:cs="Open Sans"/>
          <w:color w:val="000000" w:themeColor="text1"/>
          <w:sz w:val="24"/>
          <w:szCs w:val="24"/>
        </w:rPr>
        <w:t>future</w:t>
      </w:r>
      <w:proofErr w:type="gramEnd"/>
    </w:p>
    <w:p w14:paraId="2136044A" w14:textId="77777777" w:rsidR="006D4E87" w:rsidRPr="00376C27" w:rsidRDefault="006D4E87" w:rsidP="006D4E87">
      <w:pPr>
        <w:rPr>
          <w:rFonts w:ascii="Open Sans" w:eastAsia="Times New Roman" w:hAnsi="Open Sans" w:cs="Open Sans"/>
          <w:i/>
          <w:iCs/>
          <w:color w:val="000000" w:themeColor="text1"/>
          <w:sz w:val="24"/>
          <w:szCs w:val="24"/>
        </w:rPr>
      </w:pPr>
    </w:p>
    <w:p w14:paraId="072535C5" w14:textId="3AA9EE92" w:rsidR="006D4E87" w:rsidRPr="00376C27" w:rsidRDefault="006D4E87" w:rsidP="006D4E8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376C27">
        <w:rPr>
          <w:rFonts w:ascii="Open Sans" w:hAnsi="Open Sans" w:cs="Open Sans"/>
          <w:color w:val="000000" w:themeColor="text1"/>
        </w:rPr>
        <w:t xml:space="preserve">Example of </w:t>
      </w:r>
      <w:hyperlink r:id="rId10" w:history="1">
        <w:r w:rsidRPr="00376C27">
          <w:rPr>
            <w:rStyle w:val="Hyperlink"/>
            <w:rFonts w:ascii="Open Sans" w:hAnsi="Open Sans" w:cs="Open Sans"/>
          </w:rPr>
          <w:t>Skill Passport for London Midwives</w:t>
        </w:r>
      </w:hyperlink>
      <w:r w:rsidRPr="00376C27">
        <w:rPr>
          <w:rFonts w:ascii="Open Sans" w:hAnsi="Open Sans" w:cs="Open Sans"/>
          <w:color w:val="000000" w:themeColor="text1"/>
        </w:rPr>
        <w:t xml:space="preserve"> developed by Health Education England and NHS Improvement</w:t>
      </w:r>
    </w:p>
    <w:p w14:paraId="76F671E7" w14:textId="6E81DDC1" w:rsidR="006D4E87" w:rsidRPr="00376C27" w:rsidRDefault="006D4E87" w:rsidP="006D4E87">
      <w:pPr>
        <w:rPr>
          <w:rFonts w:ascii="Open Sans" w:eastAsia="Times New Roman" w:hAnsi="Open Sans" w:cs="Open Sans"/>
          <w:color w:val="000000" w:themeColor="text1"/>
          <w:sz w:val="24"/>
          <w:szCs w:val="24"/>
        </w:rPr>
        <w:sectPr w:rsidR="006D4E87" w:rsidRPr="00376C27">
          <w:headerReference w:type="default" r:id="rId11"/>
          <w:footerReference w:type="defaul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CCDC1C1" w14:textId="0990B90F" w:rsidR="00F223CD" w:rsidRPr="00376C27" w:rsidRDefault="00F223CD" w:rsidP="00140F5A">
      <w:pPr>
        <w:spacing w:line="240" w:lineRule="auto"/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</w:pPr>
      <w:r w:rsidRPr="00376C27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  <w:lastRenderedPageBreak/>
        <w:t xml:space="preserve">Example of a </w:t>
      </w:r>
      <w:r w:rsidR="00E126A5" w:rsidRPr="00376C27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  <w:t>s</w:t>
      </w:r>
      <w:r w:rsidRPr="00376C27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  <w:t xml:space="preserve">kill’s </w:t>
      </w:r>
      <w:r w:rsidR="00E126A5" w:rsidRPr="00376C27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  <w:t>p</w:t>
      </w:r>
      <w:r w:rsidRPr="00376C27">
        <w:rPr>
          <w:rFonts w:ascii="Open Sans" w:eastAsia="Times New Roman" w:hAnsi="Open Sans" w:cs="Open Sans"/>
          <w:b/>
          <w:bCs/>
          <w:color w:val="000000" w:themeColor="text1"/>
          <w:sz w:val="28"/>
          <w:szCs w:val="28"/>
        </w:rPr>
        <w:t>assport for AHP’s</w:t>
      </w:r>
    </w:p>
    <w:p w14:paraId="2D6BBF35" w14:textId="2FA2845B" w:rsidR="006A51B8" w:rsidRPr="00376C27" w:rsidRDefault="006A51B8" w:rsidP="00140F5A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i/>
          <w:iCs/>
          <w:color w:val="000000" w:themeColor="text1"/>
          <w:sz w:val="28"/>
          <w:szCs w:val="28"/>
        </w:rPr>
      </w:pP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5812"/>
        <w:gridCol w:w="1843"/>
        <w:gridCol w:w="7087"/>
      </w:tblGrid>
      <w:tr w:rsidR="00B512CE" w:rsidRPr="00376C27" w14:paraId="7FAF3CBB" w14:textId="77777777" w:rsidTr="006D4E87">
        <w:trPr>
          <w:trHeight w:val="804"/>
        </w:trPr>
        <w:tc>
          <w:tcPr>
            <w:tcW w:w="14742" w:type="dxa"/>
            <w:gridSpan w:val="3"/>
            <w:tcBorders>
              <w:top w:val="nil"/>
              <w:left w:val="nil"/>
              <w:bottom w:val="triple" w:sz="12" w:space="0" w:color="auto"/>
              <w:right w:val="nil"/>
            </w:tcBorders>
          </w:tcPr>
          <w:p w14:paraId="56E914C1" w14:textId="01B4E31B" w:rsidR="00B512CE" w:rsidRPr="00376C27" w:rsidRDefault="00B512CE" w:rsidP="00B512CE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</w:rPr>
              <w:t xml:space="preserve">Skills </w:t>
            </w:r>
            <w:r w:rsidR="00E126A5" w:rsidRPr="00376C27"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</w:rPr>
              <w:t xml:space="preserve">assport </w:t>
            </w:r>
            <w:r w:rsidR="00E126A5" w:rsidRPr="00376C27"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8"/>
                <w:szCs w:val="28"/>
              </w:rPr>
              <w:t>dditional Allied Health Professionals</w:t>
            </w:r>
          </w:p>
          <w:p w14:paraId="2EBF65C0" w14:textId="1224F08F" w:rsidR="00B512CE" w:rsidRPr="00376C27" w:rsidRDefault="00B512CE" w:rsidP="00B512CE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i/>
                <w:iCs/>
                <w:color w:val="000000" w:themeColor="text1"/>
                <w:sz w:val="28"/>
                <w:szCs w:val="28"/>
              </w:rPr>
            </w:pPr>
            <w:r w:rsidRPr="00376C27">
              <w:rPr>
                <w:rFonts w:ascii="Open Sans" w:hAnsi="Open Sans" w:cs="Open Sans"/>
                <w:b/>
                <w:bCs/>
                <w:color w:val="548DD4" w:themeColor="text2" w:themeTint="99"/>
                <w:sz w:val="28"/>
                <w:szCs w:val="28"/>
              </w:rPr>
              <w:t>Learning Log</w:t>
            </w:r>
          </w:p>
        </w:tc>
      </w:tr>
      <w:tr w:rsidR="00B512CE" w:rsidRPr="00376C27" w14:paraId="00095FA0" w14:textId="77777777" w:rsidTr="006D4E87">
        <w:trPr>
          <w:trHeight w:val="851"/>
        </w:trPr>
        <w:tc>
          <w:tcPr>
            <w:tcW w:w="581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2E4DB68E" w14:textId="77777777" w:rsidR="00B512CE" w:rsidRPr="00376C27" w:rsidRDefault="00E831D8" w:rsidP="00E831D8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  <w:p w14:paraId="00B9C4CE" w14:textId="22F20F6F" w:rsidR="00F223CD" w:rsidRPr="00376C27" w:rsidRDefault="00F223CD" w:rsidP="00E831D8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(Corporate Lead)</w:t>
            </w:r>
          </w:p>
        </w:tc>
        <w:tc>
          <w:tcPr>
            <w:tcW w:w="18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71BFB17B" w14:textId="7FF30E22" w:rsidR="00B512CE" w:rsidRPr="00376C27" w:rsidRDefault="00F223CD" w:rsidP="00E831D8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Frequency</w:t>
            </w:r>
          </w:p>
        </w:tc>
        <w:tc>
          <w:tcPr>
            <w:tcW w:w="7087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6208A0B0" w14:textId="2B2F86E4" w:rsidR="00B512CE" w:rsidRPr="00376C27" w:rsidRDefault="00F223CD" w:rsidP="00E831D8">
            <w:pPr>
              <w:pStyle w:val="NormalWeb"/>
              <w:spacing w:before="0" w:beforeAutospacing="0" w:after="0" w:afterAutospacing="0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Date completed or equivalent training demonstrated</w:t>
            </w:r>
          </w:p>
        </w:tc>
      </w:tr>
      <w:tr w:rsidR="00B512CE" w:rsidRPr="00376C27" w14:paraId="36832A5B" w14:textId="77777777" w:rsidTr="006D4E87">
        <w:trPr>
          <w:trHeight w:val="851"/>
        </w:trPr>
        <w:tc>
          <w:tcPr>
            <w:tcW w:w="581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DBE5F1" w:themeFill="accent1" w:themeFillTint="33"/>
          </w:tcPr>
          <w:p w14:paraId="02A62EE2" w14:textId="304A85F1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Must complete within the first 2 weeks of joining the organisation</w:t>
            </w:r>
          </w:p>
        </w:tc>
        <w:tc>
          <w:tcPr>
            <w:tcW w:w="18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DBE5F1" w:themeFill="accent1" w:themeFillTint="33"/>
          </w:tcPr>
          <w:p w14:paraId="3C613898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DBE5F1" w:themeFill="accent1" w:themeFillTint="33"/>
          </w:tcPr>
          <w:p w14:paraId="78C4F1F5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B512CE" w:rsidRPr="00376C27" w14:paraId="22E6B312" w14:textId="77777777" w:rsidTr="006D4E87">
        <w:trPr>
          <w:trHeight w:val="851"/>
        </w:trPr>
        <w:tc>
          <w:tcPr>
            <w:tcW w:w="581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60FCC3B1" w14:textId="0949CAF1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Statutory and mandatory training</w:t>
            </w:r>
          </w:p>
        </w:tc>
        <w:tc>
          <w:tcPr>
            <w:tcW w:w="18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5BEC46F3" w14:textId="255A98AF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Annual</w:t>
            </w:r>
          </w:p>
        </w:tc>
        <w:tc>
          <w:tcPr>
            <w:tcW w:w="7087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126AB677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B512CE" w:rsidRPr="00376C27" w14:paraId="5A800B5A" w14:textId="77777777" w:rsidTr="006D4E87">
        <w:trPr>
          <w:trHeight w:val="851"/>
        </w:trPr>
        <w:tc>
          <w:tcPr>
            <w:tcW w:w="581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DBE5F1" w:themeFill="accent1" w:themeFillTint="33"/>
          </w:tcPr>
          <w:p w14:paraId="07708A17" w14:textId="1FA8C09C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Must complete within the first 6 months of joining the organisation</w:t>
            </w:r>
          </w:p>
        </w:tc>
        <w:tc>
          <w:tcPr>
            <w:tcW w:w="18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DBE5F1" w:themeFill="accent1" w:themeFillTint="33"/>
          </w:tcPr>
          <w:p w14:paraId="036E51F3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  <w:shd w:val="clear" w:color="auto" w:fill="DBE5F1" w:themeFill="accent1" w:themeFillTint="33"/>
          </w:tcPr>
          <w:p w14:paraId="3A4A9698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B512CE" w:rsidRPr="00376C27" w14:paraId="119530A4" w14:textId="77777777" w:rsidTr="006D4E87">
        <w:trPr>
          <w:trHeight w:val="1684"/>
        </w:trPr>
        <w:tc>
          <w:tcPr>
            <w:tcW w:w="581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36337D46" w14:textId="77777777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Managing work and life stress</w:t>
            </w:r>
          </w:p>
          <w:p w14:paraId="7D405621" w14:textId="219512B8" w:rsidR="006D4E87" w:rsidRPr="00376C27" w:rsidRDefault="006D4E87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To enable participants to recognise stresses in their lives and to develop ways of reducing, </w:t>
            </w:r>
            <w:proofErr w:type="gramStart"/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managing</w:t>
            </w:r>
            <w:proofErr w:type="gramEnd"/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or eliminating stress</w:t>
            </w:r>
          </w:p>
        </w:tc>
        <w:tc>
          <w:tcPr>
            <w:tcW w:w="18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28353969" w14:textId="6663EF82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Once</w:t>
            </w:r>
          </w:p>
        </w:tc>
        <w:tc>
          <w:tcPr>
            <w:tcW w:w="7087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1CE829B8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B512CE" w:rsidRPr="00376C27" w14:paraId="14B09D66" w14:textId="77777777" w:rsidTr="006D4E87">
        <w:trPr>
          <w:trHeight w:val="851"/>
        </w:trPr>
        <w:tc>
          <w:tcPr>
            <w:tcW w:w="5812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42805BCB" w14:textId="587A6FDE" w:rsidR="00B512CE" w:rsidRPr="00376C27" w:rsidRDefault="006D4E87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Appraisal and </w:t>
            </w:r>
            <w:r w:rsidR="005E700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Knowledge and Skills Framework </w:t>
            </w: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for staff</w:t>
            </w:r>
          </w:p>
        </w:tc>
        <w:tc>
          <w:tcPr>
            <w:tcW w:w="1843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514E4E97" w14:textId="72A45F65" w:rsidR="00B512CE" w:rsidRPr="00376C27" w:rsidRDefault="00827E52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76C2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Once</w:t>
            </w:r>
          </w:p>
        </w:tc>
        <w:tc>
          <w:tcPr>
            <w:tcW w:w="7087" w:type="dxa"/>
            <w:tcBorders>
              <w:top w:val="triple" w:sz="12" w:space="0" w:color="auto"/>
              <w:left w:val="triple" w:sz="12" w:space="0" w:color="auto"/>
              <w:bottom w:val="triple" w:sz="12" w:space="0" w:color="auto"/>
              <w:right w:val="triple" w:sz="12" w:space="0" w:color="auto"/>
            </w:tcBorders>
          </w:tcPr>
          <w:p w14:paraId="4429DA83" w14:textId="77777777" w:rsidR="00B512CE" w:rsidRPr="00376C27" w:rsidRDefault="00B512CE" w:rsidP="00140F5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</w:tc>
      </w:tr>
    </w:tbl>
    <w:p w14:paraId="58B1EE0D" w14:textId="4E29F4EB" w:rsidR="007A0226" w:rsidRPr="005853B1" w:rsidRDefault="006A51B8" w:rsidP="005853B1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  <w:sz w:val="22"/>
          <w:szCs w:val="22"/>
        </w:rPr>
      </w:pPr>
      <w:r w:rsidRPr="00376C27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</w:p>
    <w:sectPr w:rsidR="007A0226" w:rsidRPr="005853B1" w:rsidSect="00F223CD">
      <w:headerReference w:type="default" r:id="rId13"/>
      <w:footerReference w:type="default" r:id="rId14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A9F1" w14:textId="77777777" w:rsidR="0004411F" w:rsidRDefault="0004411F">
      <w:pPr>
        <w:spacing w:line="240" w:lineRule="auto"/>
      </w:pPr>
      <w:r>
        <w:separator/>
      </w:r>
    </w:p>
  </w:endnote>
  <w:endnote w:type="continuationSeparator" w:id="0">
    <w:p w14:paraId="1DAAA6C0" w14:textId="77777777" w:rsidR="0004411F" w:rsidRDefault="00044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76B325" w14:paraId="15E856C7" w14:textId="77777777" w:rsidTr="1276B325">
      <w:trPr>
        <w:trHeight w:val="300"/>
      </w:trPr>
      <w:tc>
        <w:tcPr>
          <w:tcW w:w="3005" w:type="dxa"/>
        </w:tcPr>
        <w:p w14:paraId="3888AE2A" w14:textId="3432EB33" w:rsidR="1276B325" w:rsidRDefault="1276B325" w:rsidP="1276B325">
          <w:pPr>
            <w:pStyle w:val="Header"/>
            <w:ind w:left="-115"/>
          </w:pPr>
        </w:p>
      </w:tc>
      <w:tc>
        <w:tcPr>
          <w:tcW w:w="3005" w:type="dxa"/>
        </w:tcPr>
        <w:p w14:paraId="1688BC4E" w14:textId="422337A1" w:rsidR="1276B325" w:rsidRDefault="1276B325" w:rsidP="1276B325">
          <w:pPr>
            <w:pStyle w:val="Header"/>
            <w:jc w:val="center"/>
          </w:pPr>
        </w:p>
      </w:tc>
      <w:tc>
        <w:tcPr>
          <w:tcW w:w="3005" w:type="dxa"/>
        </w:tcPr>
        <w:p w14:paraId="0EDBEBFA" w14:textId="1356135C" w:rsidR="1276B325" w:rsidRDefault="1276B325" w:rsidP="1276B325">
          <w:pPr>
            <w:pStyle w:val="Header"/>
            <w:ind w:right="-115"/>
            <w:jc w:val="right"/>
          </w:pPr>
        </w:p>
      </w:tc>
    </w:tr>
  </w:tbl>
  <w:p w14:paraId="215328ED" w14:textId="65B76001" w:rsidR="1276B325" w:rsidRDefault="1276B325" w:rsidP="1276B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276B325" w14:paraId="7B72F197" w14:textId="77777777" w:rsidTr="1276B325">
      <w:trPr>
        <w:trHeight w:val="300"/>
      </w:trPr>
      <w:tc>
        <w:tcPr>
          <w:tcW w:w="4650" w:type="dxa"/>
        </w:tcPr>
        <w:p w14:paraId="68881E9C" w14:textId="643730EF" w:rsidR="1276B325" w:rsidRDefault="1276B325" w:rsidP="1276B325">
          <w:pPr>
            <w:pStyle w:val="Header"/>
            <w:ind w:left="-115"/>
          </w:pPr>
        </w:p>
      </w:tc>
      <w:tc>
        <w:tcPr>
          <w:tcW w:w="4650" w:type="dxa"/>
        </w:tcPr>
        <w:p w14:paraId="08372603" w14:textId="7F6E4534" w:rsidR="1276B325" w:rsidRDefault="1276B325" w:rsidP="1276B325">
          <w:pPr>
            <w:pStyle w:val="Header"/>
            <w:jc w:val="center"/>
          </w:pPr>
        </w:p>
      </w:tc>
      <w:tc>
        <w:tcPr>
          <w:tcW w:w="4650" w:type="dxa"/>
        </w:tcPr>
        <w:p w14:paraId="60857442" w14:textId="6202CD7B" w:rsidR="1276B325" w:rsidRDefault="1276B325" w:rsidP="1276B325">
          <w:pPr>
            <w:pStyle w:val="Header"/>
            <w:ind w:right="-115"/>
            <w:jc w:val="right"/>
          </w:pPr>
        </w:p>
      </w:tc>
    </w:tr>
  </w:tbl>
  <w:p w14:paraId="18029CF4" w14:textId="4E86A0AA" w:rsidR="1276B325" w:rsidRDefault="1276B325" w:rsidP="1276B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264F" w14:textId="77777777" w:rsidR="0004411F" w:rsidRDefault="0004411F">
      <w:pPr>
        <w:spacing w:line="240" w:lineRule="auto"/>
      </w:pPr>
      <w:r>
        <w:separator/>
      </w:r>
    </w:p>
  </w:footnote>
  <w:footnote w:type="continuationSeparator" w:id="0">
    <w:p w14:paraId="1C29505C" w14:textId="77777777" w:rsidR="0004411F" w:rsidRDefault="00044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76B325" w14:paraId="0379880E" w14:textId="77777777" w:rsidTr="1276B325">
      <w:trPr>
        <w:trHeight w:val="300"/>
      </w:trPr>
      <w:tc>
        <w:tcPr>
          <w:tcW w:w="3005" w:type="dxa"/>
        </w:tcPr>
        <w:p w14:paraId="56E1773F" w14:textId="35FB14C1" w:rsidR="1276B325" w:rsidRDefault="1276B325" w:rsidP="1276B325">
          <w:pPr>
            <w:pStyle w:val="Header"/>
            <w:ind w:left="-115"/>
          </w:pPr>
        </w:p>
      </w:tc>
      <w:tc>
        <w:tcPr>
          <w:tcW w:w="3005" w:type="dxa"/>
        </w:tcPr>
        <w:p w14:paraId="29840FD7" w14:textId="2CF6F8E5" w:rsidR="1276B325" w:rsidRDefault="1276B325" w:rsidP="1276B325">
          <w:pPr>
            <w:pStyle w:val="Header"/>
            <w:jc w:val="center"/>
          </w:pPr>
        </w:p>
      </w:tc>
      <w:tc>
        <w:tcPr>
          <w:tcW w:w="3005" w:type="dxa"/>
        </w:tcPr>
        <w:p w14:paraId="456FCF5E" w14:textId="34529803" w:rsidR="1276B325" w:rsidRDefault="1276B325" w:rsidP="1276B325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85B1DFB" wp14:editId="263ECF1C">
                <wp:extent cx="1638300" cy="285750"/>
                <wp:effectExtent l="0" t="0" r="0" b="0"/>
                <wp:docPr id="1145574835" name="Picture 1145574835" descr="RCSL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5574835" name="Picture 1145574835" descr="RCSLT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5F33F107" w14:textId="4F4807A2" w:rsidR="1276B325" w:rsidRDefault="1276B325" w:rsidP="1276B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276B325" w14:paraId="3305CD46" w14:textId="77777777" w:rsidTr="1276B325">
      <w:trPr>
        <w:trHeight w:val="300"/>
      </w:trPr>
      <w:tc>
        <w:tcPr>
          <w:tcW w:w="4650" w:type="dxa"/>
        </w:tcPr>
        <w:p w14:paraId="69BAB05D" w14:textId="2CE28033" w:rsidR="1276B325" w:rsidRDefault="1276B325" w:rsidP="1276B325">
          <w:pPr>
            <w:pStyle w:val="Header"/>
            <w:ind w:left="-115"/>
          </w:pPr>
        </w:p>
      </w:tc>
      <w:tc>
        <w:tcPr>
          <w:tcW w:w="4650" w:type="dxa"/>
        </w:tcPr>
        <w:p w14:paraId="646B5537" w14:textId="087E997F" w:rsidR="1276B325" w:rsidRDefault="1276B325" w:rsidP="1276B325">
          <w:pPr>
            <w:pStyle w:val="Header"/>
            <w:jc w:val="center"/>
          </w:pPr>
        </w:p>
      </w:tc>
      <w:tc>
        <w:tcPr>
          <w:tcW w:w="4650" w:type="dxa"/>
        </w:tcPr>
        <w:p w14:paraId="11E9F1F7" w14:textId="73B40F01" w:rsidR="1276B325" w:rsidRDefault="1276B325" w:rsidP="1276B325">
          <w:pPr>
            <w:pStyle w:val="Header"/>
            <w:ind w:right="-115"/>
            <w:jc w:val="right"/>
          </w:pPr>
        </w:p>
      </w:tc>
    </w:tr>
  </w:tbl>
  <w:p w14:paraId="4C146151" w14:textId="6D04BB6C" w:rsidR="1276B325" w:rsidRDefault="1276B325" w:rsidP="1276B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5C"/>
    <w:rsid w:val="00006EF9"/>
    <w:rsid w:val="0004411F"/>
    <w:rsid w:val="00140F5A"/>
    <w:rsid w:val="00305F31"/>
    <w:rsid w:val="00376C27"/>
    <w:rsid w:val="003B4618"/>
    <w:rsid w:val="004A6512"/>
    <w:rsid w:val="004E6E80"/>
    <w:rsid w:val="00510BC3"/>
    <w:rsid w:val="005507CA"/>
    <w:rsid w:val="0057152C"/>
    <w:rsid w:val="0058443F"/>
    <w:rsid w:val="005853B1"/>
    <w:rsid w:val="005E700C"/>
    <w:rsid w:val="005F736E"/>
    <w:rsid w:val="006A51B8"/>
    <w:rsid w:val="006D4E87"/>
    <w:rsid w:val="007A0226"/>
    <w:rsid w:val="007B4B5C"/>
    <w:rsid w:val="007D2DD6"/>
    <w:rsid w:val="00825420"/>
    <w:rsid w:val="00827E52"/>
    <w:rsid w:val="008D29F5"/>
    <w:rsid w:val="00922DD0"/>
    <w:rsid w:val="009C132C"/>
    <w:rsid w:val="00A64E52"/>
    <w:rsid w:val="00B512CE"/>
    <w:rsid w:val="00CE093A"/>
    <w:rsid w:val="00E126A5"/>
    <w:rsid w:val="00E831D8"/>
    <w:rsid w:val="00E93E59"/>
    <w:rsid w:val="00EC4BED"/>
    <w:rsid w:val="00F223CD"/>
    <w:rsid w:val="1276B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CA47"/>
  <w15:docId w15:val="{CCB71A3D-89AC-F246-9A5F-B07B783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7A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51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12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4E8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0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B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e.nhs.uk/sites/default/files/documents/CapitalMidwife%20Skills%20Passport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ee.nhs.uk/our-work/allied-health-professions/enable-workforce/developing-role-ahp-support-workers/ahp-support-worker-competency-education-career-developmen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22117E270524587FC756417F85A13" ma:contentTypeVersion="15" ma:contentTypeDescription="Create a new document." ma:contentTypeScope="" ma:versionID="02af1bac3397808abdee83f866466129">
  <xsd:schema xmlns:xsd="http://www.w3.org/2001/XMLSchema" xmlns:xs="http://www.w3.org/2001/XMLSchema" xmlns:p="http://schemas.microsoft.com/office/2006/metadata/properties" xmlns:ns2="752d7865-7f80-4b4d-9f7e-5617889a551d" xmlns:ns3="2742bbb5-d832-4556-9006-8a246a5838e7" xmlns:ns4="e1e76a81-16a8-40f3-82d7-6fd0426f2a09" targetNamespace="http://schemas.microsoft.com/office/2006/metadata/properties" ma:root="true" ma:fieldsID="834364856824296a19f5b9d98656c20b" ns2:_="" ns3:_="" ns4:_="">
    <xsd:import namespace="752d7865-7f80-4b4d-9f7e-5617889a551d"/>
    <xsd:import namespace="2742bbb5-d832-4556-9006-8a246a5838e7"/>
    <xsd:import namespace="e1e76a81-16a8-40f3-82d7-6fd0426f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865-7f80-4b4d-9f7e-5617889a5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76a81-16a8-40f3-82d7-6fd0426f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752d7865-7f80-4b4d-9f7e-5617889a55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AE13DB-4897-460E-9EF3-2EAA0966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d7865-7f80-4b4d-9f7e-5617889a551d"/>
    <ds:schemaRef ds:uri="2742bbb5-d832-4556-9006-8a246a5838e7"/>
    <ds:schemaRef ds:uri="e1e76a81-16a8-40f3-82d7-6fd0426f2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07DFD-C9ED-4311-8C13-98A9AF5EE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4C717-169E-4FF8-9FD5-050A78B6B068}">
  <ds:schemaRefs>
    <ds:schemaRef ds:uri="http://schemas.microsoft.com/office/2006/metadata/properties"/>
    <ds:schemaRef ds:uri="http://schemas.microsoft.com/office/infopath/2007/PartnerControls"/>
    <ds:schemaRef ds:uri="2742bbb5-d832-4556-9006-8a246a5838e7"/>
    <ds:schemaRef ds:uri="752d7865-7f80-4b4d-9f7e-5617889a5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 Phillpot</dc:creator>
  <cp:lastModifiedBy>Hannah Lewis</cp:lastModifiedBy>
  <cp:revision>3</cp:revision>
  <dcterms:created xsi:type="dcterms:W3CDTF">2023-06-07T09:42:00Z</dcterms:created>
  <dcterms:modified xsi:type="dcterms:W3CDTF">2023-06-09T16:04:00Z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0x01010015222117E270524587FC756417F85A13</vt:lpwstr>
  </property>
  <property fmtid="{D5CDD505-2E9C-101B-9397-08002B2CF9AE}" pid="3" name="Order">
    <vt:r8>27273200</vt:r8>
  </property>
  <property fmtid="{D5CDD505-2E9C-101B-9397-08002B2CF9AE}" pid="4" name="MediaServiceImageTags">
    <vt:lpwstr/>
  </property>
</Properties>
</file>