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50"/>
        <w:tblW w:w="0" w:type="auto"/>
        <w:tblBorders>
          <w:top w:val="single" w:sz="36" w:space="0" w:color="4BACC6" w:themeColor="accent5"/>
          <w:left w:val="single" w:sz="36" w:space="0" w:color="4BACC6" w:themeColor="accent5"/>
          <w:bottom w:val="single" w:sz="36" w:space="0" w:color="4BACC6" w:themeColor="accent5"/>
          <w:right w:val="single" w:sz="36" w:space="0" w:color="4BACC6" w:themeColor="accent5"/>
          <w:insideH w:val="single" w:sz="36" w:space="0" w:color="4BACC6" w:themeColor="accent5"/>
          <w:insideV w:val="single" w:sz="36" w:space="0" w:color="4BACC6" w:themeColor="accent5"/>
        </w:tblBorders>
        <w:tblLook w:val="04A0" w:firstRow="1" w:lastRow="0" w:firstColumn="1" w:lastColumn="0" w:noHBand="0" w:noVBand="1"/>
      </w:tblPr>
      <w:tblGrid>
        <w:gridCol w:w="5778"/>
        <w:gridCol w:w="4395"/>
        <w:gridCol w:w="2693"/>
        <w:gridCol w:w="2602"/>
      </w:tblGrid>
      <w:tr w:rsidR="00520B23" w14:paraId="0D3DE0DA" w14:textId="77777777" w:rsidTr="00520B23">
        <w:trPr>
          <w:trHeight w:val="144"/>
        </w:trPr>
        <w:tc>
          <w:tcPr>
            <w:tcW w:w="5778" w:type="dxa"/>
            <w:shd w:val="clear" w:color="auto" w:fill="FABF8F" w:themeFill="accent6" w:themeFillTint="99"/>
          </w:tcPr>
          <w:p w14:paraId="23E3ECDB" w14:textId="6CCB4983" w:rsidR="00123678" w:rsidRDefault="00301BF6" w:rsidP="0028353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74EEC7" wp14:editId="5EA2A2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-908050</wp:posOffset>
                      </wp:positionV>
                      <wp:extent cx="9880600" cy="838200"/>
                      <wp:effectExtent l="0" t="0" r="635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06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F19A5" w14:textId="060D9413" w:rsidR="005637AA" w:rsidRDefault="005640A9" w:rsidP="005640A9">
                                  <w:pPr>
                                    <w:pStyle w:val="Heading1"/>
                                    <w:spacing w:before="0"/>
                                    <w:jc w:val="center"/>
                                    <w:rPr>
                                      <w:color w:val="31849B" w:themeColor="accent5" w:themeShade="BF"/>
                                    </w:rPr>
                                  </w:pPr>
                                  <w:r>
                                    <w:rPr>
                                      <w:color w:val="31849B" w:themeColor="accent5" w:themeShade="BF"/>
                                    </w:rPr>
                                    <w:t xml:space="preserve">                                       </w:t>
                                  </w:r>
                                  <w:r w:rsidR="00B91883" w:rsidRPr="00BD5916">
                                    <w:rPr>
                                      <w:color w:val="31849B" w:themeColor="accent5" w:themeShade="BF"/>
                                    </w:rPr>
                                    <w:t xml:space="preserve">Opportunities </w:t>
                                  </w:r>
                                  <w:r w:rsidR="005C2219">
                                    <w:rPr>
                                      <w:color w:val="31849B" w:themeColor="accent5" w:themeShade="BF"/>
                                    </w:rPr>
                                    <w:t xml:space="preserve">for student SALTs </w:t>
                                  </w:r>
                                  <w:r w:rsidR="00B91883" w:rsidRPr="00BD5916">
                                    <w:rPr>
                                      <w:color w:val="31849B" w:themeColor="accent5" w:themeShade="BF"/>
                                    </w:rPr>
                                    <w:t>to develop EDS skills in Hackney</w:t>
                                  </w:r>
                                  <w:r>
                                    <w:rPr>
                                      <w:color w:val="31849B" w:themeColor="accent5" w:themeShade="BF"/>
                                    </w:rPr>
                                    <w:tab/>
                                    <w:t xml:space="preserve">                                          </w:t>
                                  </w:r>
                                  <w:r w:rsidR="003C49F2" w:rsidRPr="00BD5916">
                                    <w:rPr>
                                      <w:color w:val="31849B" w:themeColor="accent5" w:themeShade="BF"/>
                                    </w:rPr>
                                    <w:t xml:space="preserve"> </w:t>
                                  </w:r>
                                  <w:r w:rsidRPr="005640A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C2D152" wp14:editId="6AB00632">
                                        <wp:extent cx="768673" cy="28575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0137" cy="2862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CAB1017" w14:textId="44C39901" w:rsidR="0082761A" w:rsidRPr="0082761A" w:rsidRDefault="0082761A" w:rsidP="0082761A">
                                  <w:pPr>
                                    <w:pStyle w:val="Default"/>
                                  </w:pPr>
                                  <w:r>
                                    <w:t xml:space="preserve">Use this document alongside </w:t>
                                  </w:r>
                                  <w:r w:rsidR="00384A6D">
                                    <w:t xml:space="preserve">the </w:t>
                                  </w:r>
                                  <w:r w:rsidRPr="0082761A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RCSLT competencies in eating, drinking, and swallowing for the pre-registration education and training of speech and language therapists</w:t>
                                  </w:r>
                                </w:p>
                                <w:p w14:paraId="32C10005" w14:textId="312AA160" w:rsidR="005637AA" w:rsidRDefault="005637AA" w:rsidP="005637AA"/>
                                <w:p w14:paraId="4B7DA662" w14:textId="2E64D485" w:rsidR="005637AA" w:rsidRDefault="005637AA" w:rsidP="005637AA"/>
                                <w:p w14:paraId="6D39C0C4" w14:textId="5BA4FFDC" w:rsidR="005637AA" w:rsidRDefault="005637AA" w:rsidP="005637AA"/>
                                <w:p w14:paraId="63F8810C" w14:textId="4F7B994D" w:rsidR="005637AA" w:rsidRDefault="005637AA" w:rsidP="005637AA"/>
                                <w:p w14:paraId="53B5070C" w14:textId="62DC3CA9" w:rsidR="005637AA" w:rsidRDefault="005637AA" w:rsidP="005637AA"/>
                                <w:p w14:paraId="36100F6A" w14:textId="212C1E31" w:rsidR="005637AA" w:rsidRDefault="005637AA" w:rsidP="005637AA"/>
                                <w:p w14:paraId="348EF89F" w14:textId="6BE4B5CA" w:rsidR="005637AA" w:rsidRDefault="005637AA" w:rsidP="005637AA"/>
                                <w:p w14:paraId="401EF1E8" w14:textId="7E331DEE" w:rsidR="005637AA" w:rsidRDefault="005637AA" w:rsidP="005637AA"/>
                                <w:p w14:paraId="0A102CB3" w14:textId="77777777" w:rsidR="005637AA" w:rsidRPr="005637AA" w:rsidRDefault="005637AA" w:rsidP="005637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4EE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1.5pt;width:778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" stroked="f">
                      <v:textbox>
                        <w:txbxContent>
                          <w:p w14:paraId="6EFF19A5" w14:textId="060D9413" w:rsidR="005637AA" w:rsidRDefault="005640A9" w:rsidP="005640A9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color w:val="31849B" w:themeColor="accent5" w:themeShade="BF"/>
                              </w:rPr>
                              <w:t xml:space="preserve">                                       </w:t>
                            </w:r>
                            <w:r w:rsidR="00B91883" w:rsidRPr="00BD5916">
                              <w:rPr>
                                <w:color w:val="31849B" w:themeColor="accent5" w:themeShade="BF"/>
                              </w:rPr>
                              <w:t xml:space="preserve">Opportunities </w:t>
                            </w:r>
                            <w:r w:rsidR="005C2219">
                              <w:rPr>
                                <w:color w:val="31849B" w:themeColor="accent5" w:themeShade="BF"/>
                              </w:rPr>
                              <w:t xml:space="preserve">for student SALTs </w:t>
                            </w:r>
                            <w:r w:rsidR="00B91883" w:rsidRPr="00BD5916">
                              <w:rPr>
                                <w:color w:val="31849B" w:themeColor="accent5" w:themeShade="BF"/>
                              </w:rPr>
                              <w:t>to develop EDS skills in Hackney</w:t>
                            </w:r>
                            <w:r>
                              <w:rPr>
                                <w:color w:val="31849B" w:themeColor="accent5" w:themeShade="BF"/>
                              </w:rPr>
                              <w:tab/>
                              <w:t xml:space="preserve">                                          </w:t>
                            </w:r>
                            <w:r w:rsidR="003C49F2" w:rsidRPr="00BD5916"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  <w:r w:rsidRPr="005640A9">
                              <w:rPr>
                                <w:noProof/>
                              </w:rPr>
                              <w:drawing>
                                <wp:inline distT="0" distB="0" distL="0" distR="0" wp14:anchorId="19C2D152" wp14:editId="6AB00632">
                                  <wp:extent cx="768673" cy="2857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137" cy="286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AB1017" w14:textId="44C39901" w:rsidR="0082761A" w:rsidRPr="0082761A" w:rsidRDefault="0082761A" w:rsidP="0082761A">
                            <w:pPr>
                              <w:pStyle w:val="Default"/>
                            </w:pPr>
                            <w:r>
                              <w:t xml:space="preserve">Use this document alongside </w:t>
                            </w:r>
                            <w:r w:rsidR="00384A6D">
                              <w:t xml:space="preserve">the </w:t>
                            </w:r>
                            <w:r w:rsidRPr="0082761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RCSLT competencies in eating, drinking, and swallowing for the pre-registration education and training of speech and language therapists</w:t>
                            </w:r>
                          </w:p>
                          <w:p w14:paraId="32C10005" w14:textId="312AA160" w:rsidR="005637AA" w:rsidRDefault="005637AA" w:rsidP="005637AA"/>
                          <w:p w14:paraId="4B7DA662" w14:textId="2E64D485" w:rsidR="005637AA" w:rsidRDefault="005637AA" w:rsidP="005637AA"/>
                          <w:p w14:paraId="6D39C0C4" w14:textId="5BA4FFDC" w:rsidR="005637AA" w:rsidRDefault="005637AA" w:rsidP="005637AA"/>
                          <w:p w14:paraId="63F8810C" w14:textId="4F7B994D" w:rsidR="005637AA" w:rsidRDefault="005637AA" w:rsidP="005637AA"/>
                          <w:p w14:paraId="53B5070C" w14:textId="62DC3CA9" w:rsidR="005637AA" w:rsidRDefault="005637AA" w:rsidP="005637AA"/>
                          <w:p w14:paraId="36100F6A" w14:textId="212C1E31" w:rsidR="005637AA" w:rsidRDefault="005637AA" w:rsidP="005637AA"/>
                          <w:p w14:paraId="348EF89F" w14:textId="6BE4B5CA" w:rsidR="005637AA" w:rsidRDefault="005637AA" w:rsidP="005637AA"/>
                          <w:p w14:paraId="401EF1E8" w14:textId="7E331DEE" w:rsidR="005637AA" w:rsidRDefault="005637AA" w:rsidP="005637AA"/>
                          <w:p w14:paraId="0A102CB3" w14:textId="77777777" w:rsidR="005637AA" w:rsidRPr="005637AA" w:rsidRDefault="005637AA" w:rsidP="005637AA"/>
                        </w:txbxContent>
                      </v:textbox>
                    </v:shape>
                  </w:pict>
                </mc:Fallback>
              </mc:AlternateContent>
            </w:r>
            <w:r w:rsidR="00123678">
              <w:t xml:space="preserve">Opportunities to develop </w:t>
            </w:r>
            <w:r w:rsidR="0028353B">
              <w:t>EDS</w:t>
            </w:r>
            <w:r w:rsidR="00123678">
              <w:t xml:space="preserve"> skills in Hackney</w:t>
            </w:r>
            <w:r w:rsidR="005637AA">
              <w:t xml:space="preserve"> </w:t>
            </w:r>
          </w:p>
        </w:tc>
        <w:tc>
          <w:tcPr>
            <w:tcW w:w="4395" w:type="dxa"/>
            <w:shd w:val="clear" w:color="auto" w:fill="FABF8F" w:themeFill="accent6" w:themeFillTint="99"/>
          </w:tcPr>
          <w:p w14:paraId="7A024A06" w14:textId="70DC7798" w:rsidR="00123678" w:rsidRDefault="00983620" w:rsidP="00123678">
            <w:r>
              <w:t>Learning Intentions for Learners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14:paraId="44DEB86C" w14:textId="77777777" w:rsidR="00123678" w:rsidRDefault="00123678" w:rsidP="00123678">
            <w:r>
              <w:t>Relates to (</w:t>
            </w:r>
            <w:r w:rsidR="007B7818">
              <w:t>Entry-level EDS competency standard</w:t>
            </w:r>
            <w:r>
              <w:t>)</w:t>
            </w:r>
          </w:p>
        </w:tc>
        <w:tc>
          <w:tcPr>
            <w:tcW w:w="2602" w:type="dxa"/>
            <w:shd w:val="clear" w:color="auto" w:fill="FABF8F" w:themeFill="accent6" w:themeFillTint="99"/>
          </w:tcPr>
          <w:p w14:paraId="2F55E4F9" w14:textId="77777777" w:rsidR="00123678" w:rsidRDefault="00123678" w:rsidP="00123678">
            <w:r>
              <w:t xml:space="preserve">How Practice Educator (PE) can facilitate </w:t>
            </w:r>
          </w:p>
        </w:tc>
      </w:tr>
      <w:tr w:rsidR="00005D57" w14:paraId="3BDF9EED" w14:textId="77777777" w:rsidTr="00520B23">
        <w:trPr>
          <w:trHeight w:val="144"/>
        </w:trPr>
        <w:tc>
          <w:tcPr>
            <w:tcW w:w="5778" w:type="dxa"/>
          </w:tcPr>
          <w:p w14:paraId="08BF08E5" w14:textId="77777777" w:rsidR="00301BF6" w:rsidRDefault="00803746" w:rsidP="00301BF6">
            <w:pPr>
              <w:spacing w:after="160" w:line="259" w:lineRule="auto"/>
            </w:pPr>
            <w:r>
              <w:t xml:space="preserve">Identify children/YP with EDS needs on PE caseload- </w:t>
            </w:r>
          </w:p>
          <w:p w14:paraId="72376E21" w14:textId="52F96AD0" w:rsidR="00301BF6" w:rsidRPr="00301BF6" w:rsidRDefault="004A7A0C" w:rsidP="00301BF6">
            <w:pPr>
              <w:spacing w:after="160" w:line="259" w:lineRule="auto"/>
            </w:pPr>
            <w:r>
              <w:t>Observe PE, or w</w:t>
            </w:r>
            <w:r w:rsidR="00301BF6">
              <w:t>ith supervision</w:t>
            </w:r>
            <w:r w:rsidR="00521F04">
              <w:t xml:space="preserve"> </w:t>
            </w:r>
            <w:r w:rsidR="00301BF6">
              <w:t>from PE</w:t>
            </w:r>
            <w:r>
              <w:t xml:space="preserve"> depending on experience and knowledge, participate in</w:t>
            </w:r>
            <w:r w:rsidR="00301BF6">
              <w:t>:</w:t>
            </w:r>
          </w:p>
          <w:p w14:paraId="5388E066" w14:textId="77777777" w:rsidR="00301BF6" w:rsidRPr="00301BF6" w:rsidRDefault="00301BF6" w:rsidP="00301BF6">
            <w:pPr>
              <w:numPr>
                <w:ilvl w:val="0"/>
                <w:numId w:val="28"/>
              </w:numPr>
              <w:spacing w:line="259" w:lineRule="auto"/>
            </w:pPr>
            <w:r w:rsidRPr="00301BF6">
              <w:t xml:space="preserve">obtain relevant information from medical and nursing notes and/or referral letters </w:t>
            </w:r>
          </w:p>
          <w:p w14:paraId="1D028F78" w14:textId="2E834250" w:rsidR="00301BF6" w:rsidRPr="00301BF6" w:rsidRDefault="00301BF6" w:rsidP="00301BF6">
            <w:pPr>
              <w:numPr>
                <w:ilvl w:val="0"/>
                <w:numId w:val="28"/>
              </w:numPr>
              <w:spacing w:line="259" w:lineRule="auto"/>
            </w:pPr>
            <w:r w:rsidRPr="00301BF6">
              <w:t xml:space="preserve">take case histories from service users/families/carers </w:t>
            </w:r>
          </w:p>
          <w:p w14:paraId="0646B7F4" w14:textId="0E1DDD07" w:rsidR="00301BF6" w:rsidRDefault="00301BF6" w:rsidP="00301BF6">
            <w:pPr>
              <w:numPr>
                <w:ilvl w:val="0"/>
                <w:numId w:val="28"/>
              </w:numPr>
              <w:spacing w:line="259" w:lineRule="auto"/>
            </w:pPr>
            <w:r w:rsidRPr="00301BF6">
              <w:t xml:space="preserve">carry out structured clinical EDS assessments </w:t>
            </w:r>
            <w:r>
              <w:t>or a review assessment</w:t>
            </w:r>
          </w:p>
          <w:p w14:paraId="2AB5014D" w14:textId="4D29B920" w:rsidR="00301BF6" w:rsidRPr="00301BF6" w:rsidRDefault="00802825" w:rsidP="00301BF6">
            <w:pPr>
              <w:numPr>
                <w:ilvl w:val="0"/>
                <w:numId w:val="28"/>
              </w:numPr>
              <w:spacing w:line="259" w:lineRule="auto"/>
            </w:pPr>
            <w:r>
              <w:t>w</w:t>
            </w:r>
            <w:r w:rsidR="00301BF6">
              <w:t>rite a mealtime plan or therapy programme</w:t>
            </w:r>
          </w:p>
          <w:p w14:paraId="620BB872" w14:textId="75893719" w:rsidR="00301BF6" w:rsidRPr="00301BF6" w:rsidRDefault="00301BF6" w:rsidP="00301BF6">
            <w:pPr>
              <w:numPr>
                <w:ilvl w:val="0"/>
                <w:numId w:val="28"/>
              </w:numPr>
              <w:spacing w:line="259" w:lineRule="auto"/>
            </w:pPr>
            <w:r w:rsidRPr="00301BF6">
              <w:t xml:space="preserve">carry out EDS-associated interventions </w:t>
            </w:r>
          </w:p>
          <w:p w14:paraId="76AFDF14" w14:textId="61D120BD" w:rsidR="00301BF6" w:rsidRPr="00301BF6" w:rsidRDefault="00301BF6" w:rsidP="00301BF6">
            <w:pPr>
              <w:numPr>
                <w:ilvl w:val="0"/>
                <w:numId w:val="28"/>
              </w:numPr>
              <w:spacing w:line="259" w:lineRule="auto"/>
            </w:pPr>
            <w:r w:rsidRPr="00301BF6">
              <w:t xml:space="preserve">provide feedback to service users and/or families/carers </w:t>
            </w:r>
          </w:p>
          <w:p w14:paraId="540DF129" w14:textId="07F83A7A" w:rsidR="00301BF6" w:rsidRPr="00301BF6" w:rsidRDefault="00301BF6" w:rsidP="00301BF6">
            <w:pPr>
              <w:numPr>
                <w:ilvl w:val="0"/>
                <w:numId w:val="28"/>
              </w:numPr>
              <w:spacing w:line="259" w:lineRule="auto"/>
            </w:pPr>
            <w:r w:rsidRPr="00301BF6">
              <w:t xml:space="preserve">provide feedback </w:t>
            </w:r>
            <w:r>
              <w:t xml:space="preserve">or training </w:t>
            </w:r>
            <w:r w:rsidRPr="00301BF6">
              <w:t xml:space="preserve">to other professionals </w:t>
            </w:r>
          </w:p>
          <w:p w14:paraId="0AAFDABF" w14:textId="01D4259F" w:rsidR="00803746" w:rsidRDefault="00301BF6" w:rsidP="00301BF6">
            <w:pPr>
              <w:numPr>
                <w:ilvl w:val="0"/>
                <w:numId w:val="28"/>
              </w:numPr>
              <w:spacing w:line="259" w:lineRule="auto"/>
            </w:pPr>
            <w:r w:rsidRPr="00301BF6">
              <w:t>document findings of assessment and management sessions</w:t>
            </w:r>
          </w:p>
        </w:tc>
        <w:tc>
          <w:tcPr>
            <w:tcW w:w="4395" w:type="dxa"/>
          </w:tcPr>
          <w:p w14:paraId="1A016EF2" w14:textId="1148BA0F" w:rsidR="00005D57" w:rsidRDefault="004A7A0C" w:rsidP="005637AA">
            <w:pPr>
              <w:pStyle w:val="ListParagraph"/>
              <w:numPr>
                <w:ilvl w:val="0"/>
                <w:numId w:val="24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identify salient information from case notes</w:t>
            </w:r>
          </w:p>
          <w:p w14:paraId="5A1DE1D2" w14:textId="2E1699C2" w:rsidR="004A7A0C" w:rsidRDefault="004A7A0C" w:rsidP="005637AA">
            <w:pPr>
              <w:pStyle w:val="ListParagraph"/>
              <w:numPr>
                <w:ilvl w:val="0"/>
                <w:numId w:val="24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carry out observational EDS screening assesment</w:t>
            </w:r>
          </w:p>
          <w:p w14:paraId="2E21B79C" w14:textId="341565D1" w:rsidR="004A7A0C" w:rsidRDefault="004A7A0C" w:rsidP="005637AA">
            <w:pPr>
              <w:pStyle w:val="ListParagraph"/>
              <w:numPr>
                <w:ilvl w:val="0"/>
                <w:numId w:val="24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present a hypothesis to PE</w:t>
            </w:r>
          </w:p>
          <w:p w14:paraId="33710ABD" w14:textId="33EFE190" w:rsidR="004A7A0C" w:rsidRDefault="004A7A0C" w:rsidP="005637AA">
            <w:pPr>
              <w:pStyle w:val="ListParagraph"/>
              <w:numPr>
                <w:ilvl w:val="0"/>
                <w:numId w:val="24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communicate EDS findings to families and professionals</w:t>
            </w:r>
          </w:p>
          <w:p w14:paraId="183DCC49" w14:textId="14AD149A" w:rsidR="004A7A0C" w:rsidRDefault="004A7A0C" w:rsidP="005637AA">
            <w:pPr>
              <w:pStyle w:val="ListParagraph"/>
              <w:numPr>
                <w:ilvl w:val="0"/>
                <w:numId w:val="24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can research the evidence base for a particular therapy approach e.g. developing chewing skills.</w:t>
            </w:r>
          </w:p>
          <w:p w14:paraId="17678BD5" w14:textId="507E526C" w:rsidR="004A7A0C" w:rsidRDefault="004A7A0C" w:rsidP="004A7A0C">
            <w:pPr>
              <w:pStyle w:val="ListParagraph"/>
              <w:rPr>
                <w:noProof/>
                <w:lang w:eastAsia="en-GB"/>
              </w:rPr>
            </w:pPr>
          </w:p>
        </w:tc>
        <w:tc>
          <w:tcPr>
            <w:tcW w:w="2693" w:type="dxa"/>
          </w:tcPr>
          <w:p w14:paraId="7A6C37ED" w14:textId="11C72752" w:rsidR="00005D57" w:rsidRDefault="004A7A0C" w:rsidP="00123678">
            <w:pPr>
              <w:rPr>
                <w:i/>
              </w:rPr>
            </w:pPr>
            <w:r>
              <w:rPr>
                <w:i/>
              </w:rPr>
              <w:t>3, 4, 9, 11, 12, 16</w:t>
            </w:r>
          </w:p>
        </w:tc>
        <w:tc>
          <w:tcPr>
            <w:tcW w:w="2602" w:type="dxa"/>
          </w:tcPr>
          <w:p w14:paraId="57F76AB0" w14:textId="77777777" w:rsidR="00005D57" w:rsidRDefault="00803746" w:rsidP="00123678">
            <w:r>
              <w:t>Identify those with EDS needs on caseload</w:t>
            </w:r>
          </w:p>
          <w:p w14:paraId="1FBFE0CA" w14:textId="77777777" w:rsidR="00301BF6" w:rsidRDefault="00301BF6" w:rsidP="00123678"/>
          <w:p w14:paraId="47E92110" w14:textId="041E8708" w:rsidR="00301BF6" w:rsidRDefault="00301BF6" w:rsidP="00123678">
            <w:r>
              <w:t>Provide opportunities for shadowing</w:t>
            </w:r>
            <w:r w:rsidR="008564FB">
              <w:t xml:space="preserve"> and discussion in supervision</w:t>
            </w:r>
          </w:p>
          <w:p w14:paraId="631E9F1C" w14:textId="77777777" w:rsidR="00301BF6" w:rsidRDefault="00301BF6" w:rsidP="00123678"/>
          <w:p w14:paraId="24AA7F3A" w14:textId="55A62D24" w:rsidR="00301BF6" w:rsidRDefault="00301BF6" w:rsidP="00123678"/>
        </w:tc>
      </w:tr>
      <w:tr w:rsidR="00301BF6" w14:paraId="09A5E195" w14:textId="77777777" w:rsidTr="0088476D">
        <w:trPr>
          <w:trHeight w:val="144"/>
        </w:trPr>
        <w:tc>
          <w:tcPr>
            <w:tcW w:w="15468" w:type="dxa"/>
            <w:gridSpan w:val="4"/>
          </w:tcPr>
          <w:p w14:paraId="68788A2D" w14:textId="1F41447F" w:rsidR="00301BF6" w:rsidRPr="004A7A0C" w:rsidRDefault="00301BF6" w:rsidP="00123678">
            <w:pPr>
              <w:rPr>
                <w:b/>
                <w:bCs/>
              </w:rPr>
            </w:pPr>
            <w:r w:rsidRPr="004A7A0C">
              <w:rPr>
                <w:b/>
                <w:bCs/>
              </w:rPr>
              <w:t xml:space="preserve">If there are no children/young people with EDS needs on the Practice Educator’s Caseload, </w:t>
            </w:r>
            <w:r w:rsidR="0082761A">
              <w:rPr>
                <w:b/>
                <w:bCs/>
              </w:rPr>
              <w:t>learners</w:t>
            </w:r>
            <w:r w:rsidR="004A7A0C">
              <w:rPr>
                <w:b/>
                <w:bCs/>
              </w:rPr>
              <w:t xml:space="preserve"> should </w:t>
            </w:r>
            <w:r w:rsidRPr="004A7A0C">
              <w:rPr>
                <w:b/>
                <w:bCs/>
              </w:rPr>
              <w:t>use the following opportunities to develop EDS competencies</w:t>
            </w:r>
          </w:p>
          <w:p w14:paraId="0276263F" w14:textId="7378483F" w:rsidR="00301BF6" w:rsidRDefault="00301BF6" w:rsidP="00123678"/>
        </w:tc>
      </w:tr>
      <w:tr w:rsidR="00520B23" w14:paraId="2BBB5711" w14:textId="77777777" w:rsidTr="00520B23">
        <w:trPr>
          <w:trHeight w:val="144"/>
        </w:trPr>
        <w:tc>
          <w:tcPr>
            <w:tcW w:w="5778" w:type="dxa"/>
          </w:tcPr>
          <w:p w14:paraId="6CDAC383" w14:textId="2F7815F6" w:rsidR="007B7818" w:rsidRDefault="007B7818" w:rsidP="006B639B">
            <w:pPr>
              <w:spacing w:after="160" w:line="259" w:lineRule="auto"/>
            </w:pPr>
            <w:r>
              <w:t xml:space="preserve">Read about typical feeding development </w:t>
            </w:r>
          </w:p>
        </w:tc>
        <w:tc>
          <w:tcPr>
            <w:tcW w:w="4395" w:type="dxa"/>
          </w:tcPr>
          <w:p w14:paraId="43D6DECE" w14:textId="4EFC0FC4" w:rsidR="007B7818" w:rsidRPr="007B7818" w:rsidRDefault="00983620" w:rsidP="005637AA">
            <w:pPr>
              <w:pStyle w:val="ListParagraph"/>
              <w:numPr>
                <w:ilvl w:val="0"/>
                <w:numId w:val="24"/>
              </w:numPr>
            </w:pPr>
            <w:r>
              <w:t>can describe the typical stages of feeding development</w:t>
            </w:r>
          </w:p>
        </w:tc>
        <w:tc>
          <w:tcPr>
            <w:tcW w:w="2693" w:type="dxa"/>
          </w:tcPr>
          <w:p w14:paraId="252E5B01" w14:textId="40379D66" w:rsidR="007B7818" w:rsidRPr="00123678" w:rsidRDefault="007B7818" w:rsidP="00123678">
            <w:pPr>
              <w:rPr>
                <w:i/>
              </w:rPr>
            </w:pPr>
            <w:r>
              <w:rPr>
                <w:i/>
              </w:rPr>
              <w:t>3, 4, 10, 12</w:t>
            </w:r>
          </w:p>
        </w:tc>
        <w:tc>
          <w:tcPr>
            <w:tcW w:w="2602" w:type="dxa"/>
          </w:tcPr>
          <w:p w14:paraId="7E660ADA" w14:textId="0FB58863" w:rsidR="007B7818" w:rsidRDefault="002A0E2A" w:rsidP="00123678">
            <w:r>
              <w:t>Direct to folder on S drive</w:t>
            </w:r>
          </w:p>
        </w:tc>
      </w:tr>
      <w:tr w:rsidR="00520B23" w14:paraId="23734B35" w14:textId="77777777" w:rsidTr="00520B23">
        <w:trPr>
          <w:trHeight w:val="144"/>
        </w:trPr>
        <w:tc>
          <w:tcPr>
            <w:tcW w:w="5778" w:type="dxa"/>
          </w:tcPr>
          <w:p w14:paraId="4D07E30B" w14:textId="77777777" w:rsidR="007B7818" w:rsidRDefault="007B7818" w:rsidP="007B7818">
            <w:pPr>
              <w:spacing w:after="160" w:line="259" w:lineRule="auto"/>
            </w:pPr>
            <w:r>
              <w:t xml:space="preserve">Read about the IDDSI framework (standardised description of food texture/drink consistency) and explain to PE why the IDDSI framework was developed </w:t>
            </w:r>
            <w:hyperlink r:id="rId9" w:history="1">
              <w:r w:rsidRPr="00A83FFD">
                <w:rPr>
                  <w:rStyle w:val="Hyperlink"/>
                </w:rPr>
                <w:t>https://iddsi.org/Framework</w:t>
              </w:r>
            </w:hyperlink>
          </w:p>
          <w:p w14:paraId="429DFBDB" w14:textId="77777777" w:rsidR="007B7818" w:rsidRDefault="007B7818" w:rsidP="007B7818">
            <w:pPr>
              <w:spacing w:after="160" w:line="259" w:lineRule="auto"/>
            </w:pPr>
          </w:p>
        </w:tc>
        <w:tc>
          <w:tcPr>
            <w:tcW w:w="4395" w:type="dxa"/>
          </w:tcPr>
          <w:p w14:paraId="2A96C9A5" w14:textId="36F5B868" w:rsidR="00983620" w:rsidRDefault="00983620" w:rsidP="002A0E2A">
            <w:pPr>
              <w:pStyle w:val="ListParagraph"/>
              <w:numPr>
                <w:ilvl w:val="0"/>
                <w:numId w:val="19"/>
              </w:numPr>
            </w:pPr>
            <w:r>
              <w:t>can explain the rationale for the implementation of the IDDSI framework</w:t>
            </w:r>
          </w:p>
          <w:p w14:paraId="41D3D8C0" w14:textId="0BB03E55" w:rsidR="00983620" w:rsidRDefault="00983620" w:rsidP="002A0E2A">
            <w:pPr>
              <w:pStyle w:val="ListParagraph"/>
              <w:numPr>
                <w:ilvl w:val="0"/>
                <w:numId w:val="19"/>
              </w:numPr>
            </w:pPr>
            <w:r>
              <w:t xml:space="preserve">can explain the IDDSI levels </w:t>
            </w:r>
          </w:p>
        </w:tc>
        <w:tc>
          <w:tcPr>
            <w:tcW w:w="2693" w:type="dxa"/>
          </w:tcPr>
          <w:p w14:paraId="772F0F92" w14:textId="77777777" w:rsidR="007B7818" w:rsidRDefault="007B7818" w:rsidP="00123678">
            <w:pPr>
              <w:rPr>
                <w:i/>
              </w:rPr>
            </w:pPr>
            <w:r>
              <w:rPr>
                <w:i/>
              </w:rPr>
              <w:t xml:space="preserve">1, 2, 6, 11, 12, 13, 14 </w:t>
            </w:r>
          </w:p>
        </w:tc>
        <w:tc>
          <w:tcPr>
            <w:tcW w:w="2602" w:type="dxa"/>
          </w:tcPr>
          <w:p w14:paraId="0BF586DC" w14:textId="28EDDCAB" w:rsidR="007B7818" w:rsidRDefault="00983620" w:rsidP="00983620">
            <w:r>
              <w:t>Schedule in the student’s timetable.</w:t>
            </w:r>
          </w:p>
          <w:p w14:paraId="63753B5D" w14:textId="793AC3DF" w:rsidR="00983620" w:rsidRDefault="00983620" w:rsidP="00983620">
            <w:r>
              <w:t>Ask student to explain the IDDSI levels.</w:t>
            </w:r>
          </w:p>
        </w:tc>
      </w:tr>
      <w:tr w:rsidR="007B7818" w14:paraId="1AE6FEEA" w14:textId="77777777" w:rsidTr="00520B23">
        <w:trPr>
          <w:trHeight w:val="144"/>
        </w:trPr>
        <w:tc>
          <w:tcPr>
            <w:tcW w:w="5778" w:type="dxa"/>
          </w:tcPr>
          <w:p w14:paraId="47F92A0E" w14:textId="77777777" w:rsidR="00062928" w:rsidRDefault="007B7818" w:rsidP="007B7818">
            <w:pPr>
              <w:spacing w:after="160" w:line="259" w:lineRule="auto"/>
            </w:pPr>
            <w:r>
              <w:t xml:space="preserve">Observe a typically developing child at a mealtime (in a nursery/school).  </w:t>
            </w:r>
          </w:p>
          <w:p w14:paraId="475AD44D" w14:textId="69CF122D" w:rsidR="007B7818" w:rsidRDefault="007B7818" w:rsidP="007B7818">
            <w:pPr>
              <w:spacing w:after="160" w:line="259" w:lineRule="auto"/>
            </w:pPr>
            <w:r>
              <w:t>Observe different age groups</w:t>
            </w:r>
            <w:r w:rsidRPr="00DB083A">
              <w:t xml:space="preserve"> to see feeding development progression</w:t>
            </w:r>
            <w:r>
              <w:t xml:space="preserve">.  For </w:t>
            </w:r>
            <w:proofErr w:type="gramStart"/>
            <w:r>
              <w:t>example</w:t>
            </w:r>
            <w:proofErr w:type="gramEnd"/>
            <w:r>
              <w:t xml:space="preserve"> school nursery and year 3.  In a </w:t>
            </w:r>
            <w:r>
              <w:lastRenderedPageBreak/>
              <w:t xml:space="preserve">nursery the student could observe the baby room (bottle/weaning), 1 year old room, </w:t>
            </w:r>
            <w:proofErr w:type="gramStart"/>
            <w:r>
              <w:t>2 year old</w:t>
            </w:r>
            <w:proofErr w:type="gramEnd"/>
            <w:r>
              <w:t xml:space="preserve"> room etc</w:t>
            </w:r>
          </w:p>
          <w:p w14:paraId="191903BA" w14:textId="1D3DD35B" w:rsidR="00983620" w:rsidRDefault="00983620" w:rsidP="0065261F">
            <w:pPr>
              <w:spacing w:after="160" w:line="259" w:lineRule="auto"/>
            </w:pPr>
          </w:p>
        </w:tc>
        <w:tc>
          <w:tcPr>
            <w:tcW w:w="4395" w:type="dxa"/>
          </w:tcPr>
          <w:p w14:paraId="20F6BF1B" w14:textId="77777777" w:rsidR="006C07BA" w:rsidRDefault="00983620" w:rsidP="006C07BA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 xml:space="preserve">understands </w:t>
            </w:r>
            <w:r w:rsidR="009F5842">
              <w:t xml:space="preserve">that there </w:t>
            </w:r>
            <w:r w:rsidR="003C49F2">
              <w:t>is normal variation</w:t>
            </w:r>
            <w:r w:rsidR="009F5842">
              <w:t xml:space="preserve"> in</w:t>
            </w:r>
            <w:r w:rsidR="00062928">
              <w:t xml:space="preserve"> typical</w:t>
            </w:r>
            <w:r w:rsidR="009F5842">
              <w:t xml:space="preserve"> feeding development</w:t>
            </w:r>
          </w:p>
          <w:p w14:paraId="48F768FE" w14:textId="6F6E31EC" w:rsidR="006C07BA" w:rsidRDefault="006C07BA" w:rsidP="006C07BA">
            <w:pPr>
              <w:pStyle w:val="ListParagraph"/>
              <w:numPr>
                <w:ilvl w:val="0"/>
                <w:numId w:val="31"/>
              </w:numPr>
            </w:pPr>
            <w:r>
              <w:t xml:space="preserve">understand development at different ages and stages - </w:t>
            </w:r>
          </w:p>
          <w:p w14:paraId="5683AD77" w14:textId="77777777" w:rsidR="006C07BA" w:rsidRDefault="006C07BA" w:rsidP="006C07BA">
            <w:pPr>
              <w:pStyle w:val="ListParagraph"/>
              <w:numPr>
                <w:ilvl w:val="0"/>
                <w:numId w:val="32"/>
              </w:numPr>
            </w:pPr>
            <w:r>
              <w:lastRenderedPageBreak/>
              <w:t xml:space="preserve">Self feeding </w:t>
            </w:r>
          </w:p>
          <w:p w14:paraId="14A29C3A" w14:textId="77777777" w:rsidR="006C07BA" w:rsidRDefault="006C07BA" w:rsidP="006C07BA">
            <w:pPr>
              <w:pStyle w:val="ListParagraph"/>
              <w:numPr>
                <w:ilvl w:val="0"/>
                <w:numId w:val="32"/>
              </w:numPr>
            </w:pPr>
            <w:r>
              <w:t xml:space="preserve">Pacing </w:t>
            </w:r>
          </w:p>
          <w:p w14:paraId="3D50296C" w14:textId="77777777" w:rsidR="006C07BA" w:rsidRDefault="006C07BA" w:rsidP="006C07BA">
            <w:pPr>
              <w:pStyle w:val="ListParagraph"/>
              <w:numPr>
                <w:ilvl w:val="0"/>
                <w:numId w:val="32"/>
              </w:numPr>
            </w:pPr>
            <w:r>
              <w:t xml:space="preserve">Chewing </w:t>
            </w:r>
          </w:p>
          <w:p w14:paraId="4751F198" w14:textId="06E07DD2" w:rsidR="006C07BA" w:rsidRDefault="006C07BA" w:rsidP="006C07BA">
            <w:pPr>
              <w:pStyle w:val="ListParagraph"/>
              <w:numPr>
                <w:ilvl w:val="0"/>
                <w:numId w:val="32"/>
              </w:numPr>
            </w:pPr>
            <w:r>
              <w:t>Anterior loss</w:t>
            </w:r>
          </w:p>
          <w:p w14:paraId="6D4783C1" w14:textId="7DEEE03C" w:rsidR="006C07BA" w:rsidRDefault="006C07BA" w:rsidP="006C07BA">
            <w:pPr>
              <w:pStyle w:val="ListParagraph"/>
              <w:numPr>
                <w:ilvl w:val="0"/>
                <w:numId w:val="32"/>
              </w:numPr>
            </w:pPr>
            <w:r>
              <w:t>Fine/gross motor skills</w:t>
            </w:r>
          </w:p>
          <w:p w14:paraId="69780902" w14:textId="007060EB" w:rsidR="007B7818" w:rsidRPr="00DB083A" w:rsidRDefault="009F5842" w:rsidP="006C07BA">
            <w:pPr>
              <w:pStyle w:val="ListParagraph"/>
              <w:numPr>
                <w:ilvl w:val="0"/>
                <w:numId w:val="31"/>
              </w:numPr>
              <w:spacing w:after="160" w:line="259" w:lineRule="auto"/>
            </w:pPr>
            <w:r>
              <w:t xml:space="preserve">identify the </w:t>
            </w:r>
            <w:r w:rsidR="007B7818">
              <w:t xml:space="preserve">impact of the environment, positioning, seating, adult support, food choice, cutlery and texture on feeding </w:t>
            </w:r>
            <w:proofErr w:type="gramStart"/>
            <w:r w:rsidR="007B7818">
              <w:t>skills</w:t>
            </w:r>
            <w:proofErr w:type="gramEnd"/>
          </w:p>
          <w:p w14:paraId="3CFE8CD6" w14:textId="4A7FAD34" w:rsidR="007B7818" w:rsidRDefault="009F5842" w:rsidP="006C07BA">
            <w:pPr>
              <w:pStyle w:val="ListParagraph"/>
              <w:numPr>
                <w:ilvl w:val="0"/>
                <w:numId w:val="31"/>
              </w:numPr>
              <w:spacing w:after="160" w:line="259" w:lineRule="auto"/>
            </w:pPr>
            <w:r>
              <w:t>can describe the food and drink texture</w:t>
            </w:r>
            <w:r w:rsidR="00062928">
              <w:t xml:space="preserve">s </w:t>
            </w:r>
            <w:r>
              <w:t>using</w:t>
            </w:r>
            <w:r w:rsidR="007B7818">
              <w:t xml:space="preserve"> IDDSI levels</w:t>
            </w:r>
          </w:p>
          <w:p w14:paraId="50DAD6AD" w14:textId="77777777" w:rsidR="006C07BA" w:rsidRDefault="006C07BA" w:rsidP="006C07BA">
            <w:pPr>
              <w:pStyle w:val="ListParagraph"/>
              <w:numPr>
                <w:ilvl w:val="0"/>
                <w:numId w:val="31"/>
              </w:numPr>
            </w:pPr>
            <w:r>
              <w:t>Identify risk factors</w:t>
            </w:r>
          </w:p>
          <w:p w14:paraId="1F2488F9" w14:textId="766A8535" w:rsidR="006C07BA" w:rsidRDefault="006C07BA" w:rsidP="006C07BA">
            <w:pPr>
              <w:pStyle w:val="ListParagraph"/>
              <w:numPr>
                <w:ilvl w:val="0"/>
                <w:numId w:val="31"/>
              </w:numPr>
              <w:spacing w:after="160" w:line="259" w:lineRule="auto"/>
            </w:pPr>
            <w:r>
              <w:t xml:space="preserve">Consider environmental changes that can support </w:t>
            </w:r>
            <w:proofErr w:type="gramStart"/>
            <w:r>
              <w:t>e.g.</w:t>
            </w:r>
            <w:proofErr w:type="gramEnd"/>
            <w:r>
              <w:t xml:space="preserve"> cut up food, positioning, trialling cutlery using the other hand</w:t>
            </w:r>
          </w:p>
          <w:p w14:paraId="0C6DB1EE" w14:textId="77777777" w:rsidR="007B7818" w:rsidRDefault="007B7818" w:rsidP="002A0E2A"/>
        </w:tc>
        <w:tc>
          <w:tcPr>
            <w:tcW w:w="2693" w:type="dxa"/>
          </w:tcPr>
          <w:p w14:paraId="674FB62D" w14:textId="77777777" w:rsidR="007B7818" w:rsidRDefault="007B7818" w:rsidP="00123678">
            <w:pPr>
              <w:rPr>
                <w:i/>
              </w:rPr>
            </w:pPr>
            <w:r>
              <w:rPr>
                <w:i/>
              </w:rPr>
              <w:lastRenderedPageBreak/>
              <w:t>1, 2, 6, 11, 12, 13, 14</w:t>
            </w:r>
          </w:p>
        </w:tc>
        <w:tc>
          <w:tcPr>
            <w:tcW w:w="2602" w:type="dxa"/>
          </w:tcPr>
          <w:p w14:paraId="5769F269" w14:textId="77777777" w:rsidR="007B7818" w:rsidRDefault="00983620" w:rsidP="00123678">
            <w:r>
              <w:t>Arrange observations in EY settings and/or schools</w:t>
            </w:r>
          </w:p>
          <w:p w14:paraId="19D6A05E" w14:textId="77777777" w:rsidR="00D110FD" w:rsidRDefault="00D110FD" w:rsidP="00D110FD"/>
          <w:p w14:paraId="0FB1DEC0" w14:textId="77777777" w:rsidR="00D110FD" w:rsidRDefault="00D110FD" w:rsidP="00D110FD"/>
          <w:p w14:paraId="780CB775" w14:textId="3A98A49F" w:rsidR="00D110FD" w:rsidRPr="00D110FD" w:rsidRDefault="00D110FD" w:rsidP="00D110FD">
            <w:r>
              <w:t>Discuss in supervision</w:t>
            </w:r>
          </w:p>
        </w:tc>
      </w:tr>
      <w:tr w:rsidR="00965BA1" w14:paraId="5736B539" w14:textId="77777777" w:rsidTr="00520B23">
        <w:trPr>
          <w:trHeight w:val="144"/>
        </w:trPr>
        <w:tc>
          <w:tcPr>
            <w:tcW w:w="5778" w:type="dxa"/>
          </w:tcPr>
          <w:p w14:paraId="3F869402" w14:textId="3EF41C8A" w:rsidR="00965BA1" w:rsidRDefault="00965BA1" w:rsidP="007B7818">
            <w:pPr>
              <w:spacing w:after="160" w:line="259" w:lineRule="auto"/>
            </w:pPr>
            <w:r>
              <w:t xml:space="preserve">Observe a lunchtime in a nursery, </w:t>
            </w:r>
            <w:proofErr w:type="gramStart"/>
            <w:r>
              <w:t>school</w:t>
            </w:r>
            <w:proofErr w:type="gramEnd"/>
            <w:r>
              <w:t xml:space="preserve"> or college. Consider the environmental aspects that contribute to a successful mealtime. </w:t>
            </w:r>
          </w:p>
          <w:p w14:paraId="695E60CA" w14:textId="1C36891D" w:rsidR="00965BA1" w:rsidRDefault="00062928" w:rsidP="007B7818">
            <w:pPr>
              <w:spacing w:after="160" w:line="259" w:lineRule="auto"/>
            </w:pPr>
            <w:r>
              <w:t xml:space="preserve">Lunch Hall </w:t>
            </w:r>
            <w:r w:rsidR="00965BA1" w:rsidRPr="0065261F">
              <w:t xml:space="preserve">Observation tool saved </w:t>
            </w:r>
            <w:r>
              <w:t>here</w:t>
            </w:r>
            <w:r w:rsidR="00965BA1">
              <w:t xml:space="preserve"> </w:t>
            </w:r>
            <w:hyperlink r:id="rId10" w:history="1">
              <w:r w:rsidR="00965BA1" w:rsidRPr="00965BA1">
                <w:rPr>
                  <w:rStyle w:val="Hyperlink"/>
                </w:rPr>
                <w:t>S:\SLT for Children and Young people\SLT Team\</w:t>
              </w:r>
              <w:r w:rsidR="008A3AE5">
                <w:rPr>
                  <w:rStyle w:val="Hyperlink"/>
                </w:rPr>
                <w:t>Learners</w:t>
              </w:r>
              <w:r w:rsidR="00965BA1" w:rsidRPr="00965BA1">
                <w:rPr>
                  <w:rStyle w:val="Hyperlink"/>
                </w:rPr>
                <w:t>\EDS Pre-registration\Mainstream mealtime environment observation\BLANK Lunch Hall Observation sheet for typical development - STUDENT SALTS.docx</w:t>
              </w:r>
            </w:hyperlink>
          </w:p>
        </w:tc>
        <w:tc>
          <w:tcPr>
            <w:tcW w:w="4395" w:type="dxa"/>
          </w:tcPr>
          <w:p w14:paraId="0E968A42" w14:textId="77777777" w:rsidR="006B639B" w:rsidRDefault="00965BA1" w:rsidP="002A0E2A">
            <w:pPr>
              <w:pStyle w:val="ListParagraph"/>
              <w:numPr>
                <w:ilvl w:val="0"/>
                <w:numId w:val="20"/>
              </w:numPr>
              <w:spacing w:after="160" w:line="259" w:lineRule="auto"/>
            </w:pPr>
            <w:r>
              <w:t>can complete</w:t>
            </w:r>
            <w:r w:rsidR="006B639B">
              <w:t xml:space="preserve"> an</w:t>
            </w:r>
            <w:r>
              <w:t xml:space="preserve"> observation tool </w:t>
            </w:r>
          </w:p>
          <w:p w14:paraId="0BEA471D" w14:textId="306D2940" w:rsidR="00965BA1" w:rsidRDefault="006B639B" w:rsidP="002A0E2A">
            <w:pPr>
              <w:pStyle w:val="ListParagraph"/>
              <w:numPr>
                <w:ilvl w:val="0"/>
                <w:numId w:val="20"/>
              </w:numPr>
              <w:spacing w:after="160" w:line="259" w:lineRule="auto"/>
            </w:pPr>
            <w:r>
              <w:t xml:space="preserve">share findings </w:t>
            </w:r>
            <w:r w:rsidR="00965BA1">
              <w:t>with PE</w:t>
            </w:r>
          </w:p>
          <w:p w14:paraId="64B40D15" w14:textId="424398EC" w:rsidR="00965BA1" w:rsidRDefault="00965BA1" w:rsidP="002A0E2A">
            <w:pPr>
              <w:pStyle w:val="ListParagraph"/>
              <w:numPr>
                <w:ilvl w:val="0"/>
                <w:numId w:val="20"/>
              </w:numPr>
              <w:spacing w:after="160" w:line="259" w:lineRule="auto"/>
            </w:pPr>
            <w:r>
              <w:t xml:space="preserve">identify environmental changes to </w:t>
            </w:r>
            <w:r w:rsidR="00062928">
              <w:t>improve mealtime for (all) children</w:t>
            </w:r>
          </w:p>
        </w:tc>
        <w:tc>
          <w:tcPr>
            <w:tcW w:w="2693" w:type="dxa"/>
          </w:tcPr>
          <w:p w14:paraId="6A66C774" w14:textId="4C457F75" w:rsidR="00965BA1" w:rsidRDefault="00062928" w:rsidP="00123678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602" w:type="dxa"/>
          </w:tcPr>
          <w:p w14:paraId="03FE8B68" w14:textId="35979FDB" w:rsidR="00965BA1" w:rsidRDefault="008F49CE" w:rsidP="00123678">
            <w:r>
              <w:t>Arrange observations in EY settings and/or schools</w:t>
            </w:r>
          </w:p>
        </w:tc>
      </w:tr>
      <w:tr w:rsidR="00B47959" w14:paraId="53096CED" w14:textId="77777777" w:rsidTr="00520B23">
        <w:trPr>
          <w:trHeight w:val="144"/>
        </w:trPr>
        <w:tc>
          <w:tcPr>
            <w:tcW w:w="5778" w:type="dxa"/>
          </w:tcPr>
          <w:p w14:paraId="198FDC2E" w14:textId="6E2DC435" w:rsidR="00B47959" w:rsidRDefault="00983620" w:rsidP="00983620">
            <w:pPr>
              <w:spacing w:after="160" w:line="259" w:lineRule="auto"/>
            </w:pPr>
            <w:r>
              <w:t>Read</w:t>
            </w:r>
            <w:r w:rsidR="00B47959">
              <w:t xml:space="preserve"> </w:t>
            </w:r>
            <w:r>
              <w:t xml:space="preserve">internal training power points </w:t>
            </w:r>
            <w:hyperlink r:id="rId11" w:history="1">
              <w:r w:rsidRPr="00983620">
                <w:rPr>
                  <w:rStyle w:val="Hyperlink"/>
                </w:rPr>
                <w:t>S:\SLT for Children and Young people\Clinical Resources\Clinical Area\EDS\3. Training</w:t>
              </w:r>
            </w:hyperlink>
          </w:p>
          <w:p w14:paraId="2ACE10C7" w14:textId="6AE66BA2" w:rsidR="00983620" w:rsidRDefault="00983620" w:rsidP="00983620">
            <w:pPr>
              <w:spacing w:after="160" w:line="259" w:lineRule="auto"/>
            </w:pPr>
          </w:p>
        </w:tc>
        <w:tc>
          <w:tcPr>
            <w:tcW w:w="4395" w:type="dxa"/>
          </w:tcPr>
          <w:p w14:paraId="088F0A8F" w14:textId="4857EAB5" w:rsidR="009F5842" w:rsidRDefault="008A3AE5" w:rsidP="002A0E2A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 xml:space="preserve">can </w:t>
            </w:r>
            <w:r w:rsidR="007F268F">
              <w:t>explain the evidence regarding</w:t>
            </w:r>
            <w:r w:rsidR="009F5842">
              <w:t xml:space="preserve"> oral motor exercises in feeding development </w:t>
            </w:r>
          </w:p>
          <w:p w14:paraId="145E6B04" w14:textId="78270293" w:rsidR="007F268F" w:rsidRDefault="006B639B" w:rsidP="002A0E2A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c</w:t>
            </w:r>
            <w:r w:rsidR="007F268F">
              <w:t>an describe the indications for and against non-oral supplementation of nutrition and/or hydration</w:t>
            </w:r>
          </w:p>
          <w:p w14:paraId="3E667DDB" w14:textId="492ABE44" w:rsidR="00B47959" w:rsidRDefault="006B639B" w:rsidP="002A0E2A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b</w:t>
            </w:r>
            <w:r w:rsidR="009F5842">
              <w:t>egins to develop</w:t>
            </w:r>
            <w:r w:rsidR="00983620">
              <w:t xml:space="preserve"> knowledge and </w:t>
            </w:r>
            <w:r w:rsidR="00983620">
              <w:lastRenderedPageBreak/>
              <w:t xml:space="preserve">understanding </w:t>
            </w:r>
            <w:r w:rsidR="009F5842">
              <w:t xml:space="preserve">of </w:t>
            </w:r>
            <w:r w:rsidR="0016717A">
              <w:t>evidence-based</w:t>
            </w:r>
            <w:r w:rsidR="00983620">
              <w:t xml:space="preserve"> intervention</w:t>
            </w:r>
          </w:p>
        </w:tc>
        <w:tc>
          <w:tcPr>
            <w:tcW w:w="2693" w:type="dxa"/>
          </w:tcPr>
          <w:p w14:paraId="7CF7130C" w14:textId="1145B4F1" w:rsidR="00B47959" w:rsidRDefault="002A0E2A" w:rsidP="00123678">
            <w:pPr>
              <w:rPr>
                <w:i/>
              </w:rPr>
            </w:pPr>
            <w:r>
              <w:rPr>
                <w:i/>
              </w:rPr>
              <w:lastRenderedPageBreak/>
              <w:t>6, 12</w:t>
            </w:r>
            <w:r w:rsidR="007F268F">
              <w:rPr>
                <w:i/>
              </w:rPr>
              <w:t>, 7, 8</w:t>
            </w:r>
            <w:r w:rsidR="00046F37">
              <w:rPr>
                <w:i/>
              </w:rPr>
              <w:t>, 19</w:t>
            </w:r>
          </w:p>
        </w:tc>
        <w:tc>
          <w:tcPr>
            <w:tcW w:w="2602" w:type="dxa"/>
          </w:tcPr>
          <w:p w14:paraId="0BE8203F" w14:textId="77777777" w:rsidR="00B47959" w:rsidRDefault="00983620" w:rsidP="00123678">
            <w:r>
              <w:t>Direct learner to folder on drive</w:t>
            </w:r>
          </w:p>
          <w:p w14:paraId="2DA2A10E" w14:textId="4569EE4F" w:rsidR="00D110FD" w:rsidRDefault="00D110FD" w:rsidP="00123678"/>
        </w:tc>
      </w:tr>
      <w:tr w:rsidR="00175961" w14:paraId="444D79EC" w14:textId="77777777" w:rsidTr="00520B23">
        <w:trPr>
          <w:trHeight w:val="144"/>
        </w:trPr>
        <w:tc>
          <w:tcPr>
            <w:tcW w:w="5778" w:type="dxa"/>
          </w:tcPr>
          <w:p w14:paraId="2BA4ADF2" w14:textId="2FF7B330" w:rsidR="00175961" w:rsidRDefault="002A0E2A" w:rsidP="00175961">
            <w:pPr>
              <w:spacing w:after="160" w:line="259" w:lineRule="auto"/>
            </w:pPr>
            <w:r>
              <w:t>Read ‘Assessment’ sub-folder with the EDS folder. Look online for information about feeding difficulties.</w:t>
            </w:r>
          </w:p>
          <w:p w14:paraId="2D380B1F" w14:textId="77777777" w:rsidR="00B91883" w:rsidRDefault="00B91883" w:rsidP="00B91883"/>
        </w:tc>
        <w:tc>
          <w:tcPr>
            <w:tcW w:w="4395" w:type="dxa"/>
          </w:tcPr>
          <w:p w14:paraId="5A0F636D" w14:textId="55F06D8C" w:rsidR="00123678" w:rsidRDefault="00983620" w:rsidP="002A0E2A">
            <w:pPr>
              <w:pStyle w:val="ListParagraph"/>
              <w:numPr>
                <w:ilvl w:val="0"/>
                <w:numId w:val="22"/>
              </w:numPr>
            </w:pPr>
            <w:r>
              <w:t>can describe overt and covert signs of feeding difficulty</w:t>
            </w:r>
          </w:p>
        </w:tc>
        <w:tc>
          <w:tcPr>
            <w:tcW w:w="2693" w:type="dxa"/>
          </w:tcPr>
          <w:p w14:paraId="1B662B29" w14:textId="3534F825" w:rsidR="00123678" w:rsidRPr="00123678" w:rsidRDefault="007F268F" w:rsidP="00123678">
            <w:pPr>
              <w:rPr>
                <w:i/>
              </w:rPr>
            </w:pPr>
            <w:r>
              <w:rPr>
                <w:i/>
              </w:rPr>
              <w:t xml:space="preserve">6, 7, 8, 11, 12, </w:t>
            </w:r>
            <w:r w:rsidR="00046F37">
              <w:rPr>
                <w:i/>
              </w:rPr>
              <w:t xml:space="preserve">14, </w:t>
            </w:r>
            <w:r>
              <w:rPr>
                <w:i/>
              </w:rPr>
              <w:t>15</w:t>
            </w:r>
            <w:r w:rsidR="00046F37">
              <w:rPr>
                <w:i/>
              </w:rPr>
              <w:t>, 16, 17, 18</w:t>
            </w:r>
          </w:p>
        </w:tc>
        <w:tc>
          <w:tcPr>
            <w:tcW w:w="2602" w:type="dxa"/>
          </w:tcPr>
          <w:p w14:paraId="39928036" w14:textId="7B3A353E" w:rsidR="00123678" w:rsidRDefault="007F268F" w:rsidP="00123678">
            <w:r>
              <w:t>Direct learner to folder on drive</w:t>
            </w:r>
          </w:p>
        </w:tc>
      </w:tr>
      <w:tr w:rsidR="008522B7" w14:paraId="4881DAA2" w14:textId="77777777" w:rsidTr="00520B23">
        <w:trPr>
          <w:trHeight w:val="144"/>
        </w:trPr>
        <w:tc>
          <w:tcPr>
            <w:tcW w:w="5778" w:type="dxa"/>
          </w:tcPr>
          <w:p w14:paraId="30FBC8B0" w14:textId="2D412F4B" w:rsidR="008522B7" w:rsidRDefault="008522B7" w:rsidP="008522B7">
            <w:pPr>
              <w:rPr>
                <w:lang w:val="en"/>
              </w:rPr>
            </w:pPr>
            <w:r>
              <w:t xml:space="preserve">Read the </w:t>
            </w:r>
            <w:r w:rsidRPr="009A69CC">
              <w:rPr>
                <w:lang w:val="en"/>
              </w:rPr>
              <w:t>Eating and Drinking Ability Classification System (EDACS)</w:t>
            </w:r>
            <w:r>
              <w:rPr>
                <w:lang w:val="en"/>
              </w:rPr>
              <w:t xml:space="preserve"> and mini-EDACS</w:t>
            </w:r>
            <w:r w:rsidRPr="009A69CC">
              <w:rPr>
                <w:lang w:val="en"/>
              </w:rPr>
              <w:t xml:space="preserve"> for people with cerebral palsy</w:t>
            </w:r>
            <w:r>
              <w:rPr>
                <w:lang w:val="en"/>
              </w:rPr>
              <w:t xml:space="preserve"> from 18 months </w:t>
            </w:r>
            <w:r w:rsidR="00BE6A4C">
              <w:rPr>
                <w:lang w:val="en"/>
              </w:rPr>
              <w:t>upwards</w:t>
            </w:r>
            <w:r w:rsidRPr="009A69CC">
              <w:rPr>
                <w:lang w:val="en"/>
              </w:rPr>
              <w:t>. EDACS describes five levels of ability using the key fe</w:t>
            </w:r>
            <w:r>
              <w:rPr>
                <w:lang w:val="en"/>
              </w:rPr>
              <w:t>atures of safety and efficiency</w:t>
            </w:r>
          </w:p>
          <w:p w14:paraId="3961EA00" w14:textId="34D8F07B" w:rsidR="008522B7" w:rsidRDefault="004F531E" w:rsidP="00175961">
            <w:pPr>
              <w:spacing w:after="160" w:line="259" w:lineRule="auto"/>
            </w:pPr>
            <w:hyperlink r:id="rId12" w:history="1">
              <w:r w:rsidR="008522B7" w:rsidRPr="008522B7">
                <w:rPr>
                  <w:rStyle w:val="Hyperlink"/>
                </w:rPr>
                <w:t>https://www.sussexcommunity.nhs.uk/get-involved/research/chailey-research/eating-drinking-classification.htm</w:t>
              </w:r>
            </w:hyperlink>
          </w:p>
        </w:tc>
        <w:tc>
          <w:tcPr>
            <w:tcW w:w="4395" w:type="dxa"/>
          </w:tcPr>
          <w:p w14:paraId="7C5AE042" w14:textId="70DC7E91" w:rsidR="008522B7" w:rsidRDefault="008522B7" w:rsidP="002A0E2A">
            <w:pPr>
              <w:pStyle w:val="ListParagraph"/>
              <w:numPr>
                <w:ilvl w:val="0"/>
                <w:numId w:val="22"/>
              </w:numPr>
            </w:pPr>
            <w:r>
              <w:t>ca</w:t>
            </w:r>
            <w:r w:rsidR="008A3AE5">
              <w:t>n observe a child/young person in person or via video and assign an EDACS level (or describe as ‘equivalent to EDACS level X’ for a child who does not have Cerebral Palsy).</w:t>
            </w:r>
          </w:p>
        </w:tc>
        <w:tc>
          <w:tcPr>
            <w:tcW w:w="2693" w:type="dxa"/>
          </w:tcPr>
          <w:p w14:paraId="455A3126" w14:textId="77777777" w:rsidR="008522B7" w:rsidRDefault="008522B7" w:rsidP="00123678">
            <w:pPr>
              <w:rPr>
                <w:i/>
              </w:rPr>
            </w:pPr>
          </w:p>
        </w:tc>
        <w:tc>
          <w:tcPr>
            <w:tcW w:w="2602" w:type="dxa"/>
          </w:tcPr>
          <w:p w14:paraId="301C4B4F" w14:textId="77777777" w:rsidR="008522B7" w:rsidRDefault="008522B7" w:rsidP="00123678"/>
        </w:tc>
      </w:tr>
      <w:tr w:rsidR="00175961" w14:paraId="0EAEDADF" w14:textId="77777777" w:rsidTr="00520B23">
        <w:trPr>
          <w:trHeight w:val="144"/>
        </w:trPr>
        <w:tc>
          <w:tcPr>
            <w:tcW w:w="5778" w:type="dxa"/>
          </w:tcPr>
          <w:p w14:paraId="6B4B388F" w14:textId="1A534260" w:rsidR="00175961" w:rsidRDefault="00175961" w:rsidP="00175961">
            <w:pPr>
              <w:spacing w:after="160" w:line="259" w:lineRule="auto"/>
            </w:pPr>
            <w:r>
              <w:t>Watch video clips (with a linked case history) of children/YP with EDS saved on the</w:t>
            </w:r>
            <w:r w:rsidR="0016717A">
              <w:t xml:space="preserve"> S</w:t>
            </w:r>
            <w:r>
              <w:t xml:space="preserve"> drive</w:t>
            </w:r>
            <w:hyperlink r:id="rId13" w:history="1">
              <w:r w:rsidR="00D156E9" w:rsidRPr="00D156E9">
                <w:rPr>
                  <w:rStyle w:val="Hyperlink"/>
                </w:rPr>
                <w:t>\\homerton.local\HomertonTrust\SLT for Children and Young people\SLT Team\</w:t>
              </w:r>
              <w:r w:rsidR="008A3AE5">
                <w:rPr>
                  <w:rStyle w:val="Hyperlink"/>
                </w:rPr>
                <w:t>Learners</w:t>
              </w:r>
              <w:r w:rsidR="00D156E9" w:rsidRPr="00D156E9">
                <w:rPr>
                  <w:rStyle w:val="Hyperlink"/>
                </w:rPr>
                <w:t>\EDS Pre-registration\Videos and recommendations</w:t>
              </w:r>
            </w:hyperlink>
          </w:p>
          <w:p w14:paraId="3FC5C062" w14:textId="5037C81B" w:rsidR="00175961" w:rsidRDefault="00175961" w:rsidP="008557B3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ind w:left="360"/>
            </w:pPr>
            <w:r>
              <w:t xml:space="preserve">fill in the </w:t>
            </w:r>
            <w:r w:rsidR="00007199">
              <w:t xml:space="preserve">blank </w:t>
            </w:r>
            <w:r>
              <w:t>EDS screening assessment whilst watching the video</w:t>
            </w:r>
          </w:p>
          <w:p w14:paraId="207241F3" w14:textId="6B946094" w:rsidR="00175961" w:rsidRDefault="00175961" w:rsidP="008557B3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ind w:left="360"/>
            </w:pPr>
            <w:r>
              <w:t xml:space="preserve">discuss </w:t>
            </w:r>
            <w:r w:rsidR="00D156E9">
              <w:t xml:space="preserve">your </w:t>
            </w:r>
            <w:r>
              <w:t>observations and hypothesis with supervisor</w:t>
            </w:r>
          </w:p>
          <w:p w14:paraId="5A58D2A7" w14:textId="77777777" w:rsidR="00175961" w:rsidRDefault="00175961" w:rsidP="008557B3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ind w:left="360"/>
            </w:pPr>
            <w:r>
              <w:t>consider risk</w:t>
            </w:r>
          </w:p>
          <w:p w14:paraId="1C964688" w14:textId="4DD0C543" w:rsidR="00175961" w:rsidRDefault="00D156E9" w:rsidP="008557B3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ind w:left="360"/>
            </w:pPr>
            <w:r>
              <w:t>c</w:t>
            </w:r>
            <w:r w:rsidR="00175961">
              <w:t>reate a mealtime plan based on the information available</w:t>
            </w:r>
            <w:r w:rsidR="0016717A">
              <w:t>*</w:t>
            </w:r>
          </w:p>
          <w:p w14:paraId="4C1C9E88" w14:textId="77777777" w:rsidR="00175961" w:rsidRDefault="00175961" w:rsidP="008557B3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ind w:left="360"/>
            </w:pPr>
            <w:r>
              <w:t>Identify person centred outcomes</w:t>
            </w:r>
          </w:p>
          <w:p w14:paraId="00FA9A0E" w14:textId="2688581C" w:rsidR="00175961" w:rsidRDefault="00175961" w:rsidP="008557B3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ind w:left="360"/>
            </w:pPr>
            <w:r>
              <w:t>Consider what intervention to offer</w:t>
            </w:r>
          </w:p>
          <w:p w14:paraId="57A8E0A5" w14:textId="31C778E8" w:rsidR="008522B7" w:rsidRDefault="008522B7" w:rsidP="008557B3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ind w:left="360"/>
            </w:pPr>
            <w:r>
              <w:t>Consider EDACS classification</w:t>
            </w:r>
          </w:p>
          <w:p w14:paraId="475A91DE" w14:textId="7B9D3ACD" w:rsidR="008557B3" w:rsidRPr="008557B3" w:rsidRDefault="008557B3" w:rsidP="0016717A">
            <w:pPr>
              <w:pStyle w:val="ListParagraph"/>
              <w:ind w:left="360"/>
              <w:rPr>
                <w:i/>
              </w:rPr>
            </w:pPr>
          </w:p>
        </w:tc>
        <w:tc>
          <w:tcPr>
            <w:tcW w:w="4395" w:type="dxa"/>
          </w:tcPr>
          <w:p w14:paraId="54DF80CE" w14:textId="52DFDADF" w:rsidR="00123678" w:rsidRDefault="002A0E2A" w:rsidP="002A0E2A">
            <w:pPr>
              <w:pStyle w:val="ListParagraph"/>
              <w:numPr>
                <w:ilvl w:val="0"/>
                <w:numId w:val="22"/>
              </w:numPr>
            </w:pPr>
            <w:r>
              <w:t xml:space="preserve">can summarise case to supervisor, discuss their observations, impression and management </w:t>
            </w:r>
            <w:proofErr w:type="gramStart"/>
            <w:r>
              <w:t>plan</w:t>
            </w:r>
            <w:proofErr w:type="gramEnd"/>
          </w:p>
          <w:p w14:paraId="6A04E31A" w14:textId="33976A90" w:rsidR="002A0E2A" w:rsidRDefault="002A0E2A" w:rsidP="002A0E2A">
            <w:pPr>
              <w:pStyle w:val="ListParagraph"/>
              <w:numPr>
                <w:ilvl w:val="0"/>
                <w:numId w:val="22"/>
              </w:numPr>
            </w:pPr>
            <w:r>
              <w:t>can write a mealtime plan</w:t>
            </w:r>
          </w:p>
          <w:p w14:paraId="789AC4D1" w14:textId="7925A0D1" w:rsidR="008522B7" w:rsidRDefault="008522B7" w:rsidP="002A0E2A">
            <w:pPr>
              <w:pStyle w:val="ListParagraph"/>
              <w:numPr>
                <w:ilvl w:val="0"/>
                <w:numId w:val="22"/>
              </w:numPr>
            </w:pPr>
            <w:r>
              <w:t xml:space="preserve">can assign an EDACS </w:t>
            </w:r>
            <w:r w:rsidR="008A3AE5">
              <w:t>level</w:t>
            </w:r>
          </w:p>
        </w:tc>
        <w:tc>
          <w:tcPr>
            <w:tcW w:w="2693" w:type="dxa"/>
          </w:tcPr>
          <w:p w14:paraId="647D7797" w14:textId="791B2DFD" w:rsidR="00123678" w:rsidRDefault="00C37DBA" w:rsidP="00123678">
            <w:r>
              <w:t>3, 6, 7, 8, 9, 10, 11, 12, 13, 16, 17, 18</w:t>
            </w:r>
          </w:p>
        </w:tc>
        <w:tc>
          <w:tcPr>
            <w:tcW w:w="2602" w:type="dxa"/>
          </w:tcPr>
          <w:p w14:paraId="03746E61" w14:textId="77777777" w:rsidR="00123678" w:rsidRDefault="007F268F" w:rsidP="00123678">
            <w:r>
              <w:t>Direct learner to folder on drive</w:t>
            </w:r>
          </w:p>
          <w:p w14:paraId="7861FEFE" w14:textId="77777777" w:rsidR="00D110FD" w:rsidRDefault="00D110FD" w:rsidP="008F49CE"/>
          <w:p w14:paraId="575152F7" w14:textId="0CF043B4" w:rsidR="0016717A" w:rsidRDefault="007F268F" w:rsidP="008F49CE">
            <w:r>
              <w:t>Discuss in supervision</w:t>
            </w:r>
          </w:p>
          <w:p w14:paraId="2CEC759F" w14:textId="77777777" w:rsidR="0016717A" w:rsidRDefault="0016717A" w:rsidP="0016717A">
            <w:pPr>
              <w:pStyle w:val="ListParagraph"/>
              <w:ind w:left="360"/>
              <w:rPr>
                <w:i/>
              </w:rPr>
            </w:pPr>
          </w:p>
          <w:p w14:paraId="5FA2E1E4" w14:textId="65E8BECC" w:rsidR="0016717A" w:rsidRDefault="0016717A" w:rsidP="0016717A">
            <w:pPr>
              <w:pStyle w:val="ListParagraph"/>
              <w:ind w:left="360"/>
              <w:rPr>
                <w:i/>
              </w:rPr>
            </w:pPr>
            <w:r>
              <w:rPr>
                <w:i/>
              </w:rPr>
              <w:t>*</w:t>
            </w:r>
            <w:r w:rsidRPr="00DD01C9">
              <w:rPr>
                <w:i/>
              </w:rPr>
              <w:t xml:space="preserve">Dysphagia team will prepare an answer sheet with an appropriate management plan for </w:t>
            </w:r>
            <w:r>
              <w:rPr>
                <w:i/>
              </w:rPr>
              <w:t>PEs to support discussion</w:t>
            </w:r>
          </w:p>
          <w:p w14:paraId="3C61CAD3" w14:textId="06C0C8A4" w:rsidR="007F268F" w:rsidRDefault="007F268F" w:rsidP="00123678"/>
        </w:tc>
      </w:tr>
      <w:tr w:rsidR="00175961" w14:paraId="7F4A7F65" w14:textId="77777777" w:rsidTr="00175961">
        <w:trPr>
          <w:trHeight w:val="144"/>
        </w:trPr>
        <w:tc>
          <w:tcPr>
            <w:tcW w:w="5778" w:type="dxa"/>
          </w:tcPr>
          <w:p w14:paraId="15CF3142" w14:textId="2F1A7494" w:rsidR="00123678" w:rsidRDefault="00175961" w:rsidP="00006774">
            <w:pPr>
              <w:spacing w:after="160" w:line="259" w:lineRule="auto"/>
            </w:pPr>
            <w:r>
              <w:t xml:space="preserve">Obtain relevant information (weight/respiratory health/medication/milestones) as part of </w:t>
            </w:r>
            <w:r w:rsidR="002A0E2A">
              <w:t>a background search</w:t>
            </w:r>
            <w:r>
              <w:t xml:space="preserve"> via RIO and </w:t>
            </w:r>
            <w:r w:rsidR="0016717A">
              <w:t>HIE for</w:t>
            </w:r>
            <w:r>
              <w:t xml:space="preserve"> new referrals even if referral information does not include EDS concerns</w:t>
            </w:r>
            <w:r w:rsidR="009B769C">
              <w:t xml:space="preserve">. Learner can </w:t>
            </w:r>
            <w:r w:rsidR="009B769C">
              <w:lastRenderedPageBreak/>
              <w:t>access RIO if they have a smartcard</w:t>
            </w:r>
            <w:r w:rsidR="00006774">
              <w:t>.</w:t>
            </w:r>
          </w:p>
        </w:tc>
        <w:tc>
          <w:tcPr>
            <w:tcW w:w="4395" w:type="dxa"/>
          </w:tcPr>
          <w:p w14:paraId="48A18113" w14:textId="4E67A4AF" w:rsidR="00123678" w:rsidRDefault="002A0E2A" w:rsidP="002A0E2A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 xml:space="preserve">can obtain detailed background information from case notes relevant to EDS and consider what further information is required from </w:t>
            </w:r>
            <w:r>
              <w:lastRenderedPageBreak/>
              <w:t>parent/carer</w:t>
            </w:r>
          </w:p>
        </w:tc>
        <w:tc>
          <w:tcPr>
            <w:tcW w:w="2693" w:type="dxa"/>
          </w:tcPr>
          <w:p w14:paraId="76E19668" w14:textId="4E727EC8" w:rsidR="00123678" w:rsidRPr="002A0E2A" w:rsidRDefault="002A0E2A" w:rsidP="00123678">
            <w:pPr>
              <w:rPr>
                <w:i/>
              </w:rPr>
            </w:pPr>
            <w:r w:rsidRPr="002A0E2A">
              <w:rPr>
                <w:i/>
              </w:rPr>
              <w:lastRenderedPageBreak/>
              <w:t>3, 4</w:t>
            </w:r>
            <w:r w:rsidR="007F268F">
              <w:rPr>
                <w:i/>
              </w:rPr>
              <w:t>, 8</w:t>
            </w:r>
          </w:p>
        </w:tc>
        <w:tc>
          <w:tcPr>
            <w:tcW w:w="2602" w:type="dxa"/>
          </w:tcPr>
          <w:p w14:paraId="4754122F" w14:textId="592CD392" w:rsidR="00123678" w:rsidRDefault="008F49CE" w:rsidP="00123678">
            <w:r>
              <w:t>Show student how to access</w:t>
            </w:r>
            <w:r w:rsidR="00B916FF">
              <w:t xml:space="preserve"> information on HIE viewer</w:t>
            </w:r>
          </w:p>
        </w:tc>
      </w:tr>
      <w:tr w:rsidR="00175961" w14:paraId="7EDECDD0" w14:textId="77777777" w:rsidTr="00175961">
        <w:trPr>
          <w:trHeight w:val="144"/>
        </w:trPr>
        <w:tc>
          <w:tcPr>
            <w:tcW w:w="5778" w:type="dxa"/>
          </w:tcPr>
          <w:p w14:paraId="68063C3A" w14:textId="0C2C7D07" w:rsidR="00175961" w:rsidRDefault="00175961" w:rsidP="00175961">
            <w:pPr>
              <w:spacing w:after="160" w:line="259" w:lineRule="auto"/>
            </w:pPr>
            <w:r>
              <w:t xml:space="preserve">Observe breastfeeding </w:t>
            </w:r>
            <w:r w:rsidR="0016717A">
              <w:t>drop-in</w:t>
            </w:r>
            <w:r>
              <w:t xml:space="preserve"> support sessions at </w:t>
            </w:r>
            <w:r w:rsidR="00384A6D">
              <w:t>a Children’s Centre</w:t>
            </w:r>
            <w:r>
              <w:t xml:space="preserve"> (EY student placements)</w:t>
            </w:r>
          </w:p>
          <w:p w14:paraId="524164B2" w14:textId="77777777" w:rsidR="00123678" w:rsidRDefault="00123678" w:rsidP="00123678"/>
        </w:tc>
        <w:tc>
          <w:tcPr>
            <w:tcW w:w="4395" w:type="dxa"/>
          </w:tcPr>
          <w:p w14:paraId="31C0E286" w14:textId="72F57A74" w:rsidR="00123678" w:rsidRDefault="00046F37" w:rsidP="00046F37">
            <w:pPr>
              <w:pStyle w:val="ListParagraph"/>
              <w:numPr>
                <w:ilvl w:val="0"/>
                <w:numId w:val="23"/>
              </w:numPr>
            </w:pPr>
            <w:r>
              <w:t>can describe common difficulties experienced in establishing breastfeeding with well babies</w:t>
            </w:r>
          </w:p>
        </w:tc>
        <w:tc>
          <w:tcPr>
            <w:tcW w:w="2693" w:type="dxa"/>
          </w:tcPr>
          <w:p w14:paraId="4FBEEAB2" w14:textId="24BC0A68" w:rsidR="00123678" w:rsidRDefault="00046F37" w:rsidP="00123678">
            <w:r>
              <w:t>1, 2, 3, 5</w:t>
            </w:r>
          </w:p>
        </w:tc>
        <w:tc>
          <w:tcPr>
            <w:tcW w:w="2602" w:type="dxa"/>
          </w:tcPr>
          <w:p w14:paraId="6A3E9B75" w14:textId="6FA83F1C" w:rsidR="00123678" w:rsidRDefault="00D110FD" w:rsidP="00123678">
            <w:r>
              <w:t>Direct student to CC website and timetable</w:t>
            </w:r>
          </w:p>
        </w:tc>
      </w:tr>
      <w:tr w:rsidR="00175961" w14:paraId="2946801C" w14:textId="77777777" w:rsidTr="00175961">
        <w:trPr>
          <w:trHeight w:val="144"/>
        </w:trPr>
        <w:tc>
          <w:tcPr>
            <w:tcW w:w="5778" w:type="dxa"/>
          </w:tcPr>
          <w:p w14:paraId="448A9D7F" w14:textId="77777777" w:rsidR="00160CAC" w:rsidRDefault="00160CAC" w:rsidP="00175961">
            <w:pPr>
              <w:spacing w:after="160" w:line="259" w:lineRule="auto"/>
            </w:pPr>
          </w:p>
          <w:p w14:paraId="14C8F193" w14:textId="21C51F48" w:rsidR="00175961" w:rsidRDefault="00175961" w:rsidP="00175961">
            <w:pPr>
              <w:spacing w:after="160" w:line="259" w:lineRule="auto"/>
            </w:pPr>
            <w:r>
              <w:t>Attend a weaning workshop</w:t>
            </w:r>
            <w:r w:rsidR="00177F02">
              <w:t xml:space="preserve"> (</w:t>
            </w:r>
            <w:proofErr w:type="gramStart"/>
            <w:r w:rsidR="0016717A">
              <w:t>e.g.</w:t>
            </w:r>
            <w:proofErr w:type="gramEnd"/>
            <w:r w:rsidR="00177F02">
              <w:t xml:space="preserve"> in a Children’s Centre)</w:t>
            </w:r>
          </w:p>
          <w:p w14:paraId="7BE83F1C" w14:textId="77777777" w:rsidR="00123678" w:rsidRDefault="00123678" w:rsidP="00123678"/>
        </w:tc>
        <w:tc>
          <w:tcPr>
            <w:tcW w:w="4395" w:type="dxa"/>
          </w:tcPr>
          <w:p w14:paraId="24251DFB" w14:textId="1CC5FFDD" w:rsidR="00123678" w:rsidRDefault="00046F37" w:rsidP="00046F37">
            <w:pPr>
              <w:pStyle w:val="ListParagraph"/>
              <w:numPr>
                <w:ilvl w:val="0"/>
                <w:numId w:val="23"/>
              </w:numPr>
            </w:pPr>
            <w:r>
              <w:t>can explain different approaches to weaning</w:t>
            </w:r>
            <w:r w:rsidR="008A3AE5">
              <w:t xml:space="preserve"> </w:t>
            </w:r>
            <w:proofErr w:type="gramStart"/>
            <w:r w:rsidR="008A3AE5">
              <w:t>e.g.</w:t>
            </w:r>
            <w:proofErr w:type="gramEnd"/>
            <w:r w:rsidR="008A3AE5">
              <w:t xml:space="preserve"> baby led</w:t>
            </w:r>
          </w:p>
          <w:p w14:paraId="17CA038B" w14:textId="6EB7D07B" w:rsidR="00046F37" w:rsidRDefault="00046F37" w:rsidP="00046F37">
            <w:pPr>
              <w:pStyle w:val="ListParagraph"/>
              <w:numPr>
                <w:ilvl w:val="0"/>
                <w:numId w:val="23"/>
              </w:numPr>
            </w:pPr>
            <w:r>
              <w:t>can describe common issues in</w:t>
            </w:r>
            <w:r w:rsidR="00D110FD">
              <w:t xml:space="preserve"> the</w:t>
            </w:r>
            <w:r>
              <w:t xml:space="preserve"> transition to solids</w:t>
            </w:r>
          </w:p>
        </w:tc>
        <w:tc>
          <w:tcPr>
            <w:tcW w:w="2693" w:type="dxa"/>
          </w:tcPr>
          <w:p w14:paraId="3BF6B467" w14:textId="76F12BC5" w:rsidR="00123678" w:rsidRDefault="00046F37" w:rsidP="00123678">
            <w:r>
              <w:t>2, 3, 8</w:t>
            </w:r>
          </w:p>
        </w:tc>
        <w:tc>
          <w:tcPr>
            <w:tcW w:w="2602" w:type="dxa"/>
          </w:tcPr>
          <w:p w14:paraId="0273A325" w14:textId="007B4EEA" w:rsidR="00123678" w:rsidRDefault="00D110FD" w:rsidP="00123678">
            <w:r>
              <w:t>Direct student to CC website and timetable</w:t>
            </w:r>
          </w:p>
        </w:tc>
      </w:tr>
      <w:tr w:rsidR="00A83272" w14:paraId="6867584B" w14:textId="77777777" w:rsidTr="00175961">
        <w:trPr>
          <w:trHeight w:val="144"/>
        </w:trPr>
        <w:tc>
          <w:tcPr>
            <w:tcW w:w="5778" w:type="dxa"/>
          </w:tcPr>
          <w:p w14:paraId="6D80F0E4" w14:textId="108A3158" w:rsidR="00A83272" w:rsidRDefault="00177F02" w:rsidP="00175961">
            <w:pPr>
              <w:spacing w:after="160" w:line="259" w:lineRule="auto"/>
            </w:pPr>
            <w:r>
              <w:t xml:space="preserve">Carry out a </w:t>
            </w:r>
            <w:r w:rsidR="004E0436">
              <w:t>m</w:t>
            </w:r>
            <w:r w:rsidR="00A83272">
              <w:t xml:space="preserve">ealtime environment audit </w:t>
            </w:r>
          </w:p>
        </w:tc>
        <w:tc>
          <w:tcPr>
            <w:tcW w:w="4395" w:type="dxa"/>
          </w:tcPr>
          <w:p w14:paraId="2B0BE52B" w14:textId="318C4ECD" w:rsidR="00A83272" w:rsidRDefault="00046F37" w:rsidP="008A3AE5">
            <w:pPr>
              <w:pStyle w:val="ListParagraph"/>
              <w:numPr>
                <w:ilvl w:val="0"/>
                <w:numId w:val="29"/>
              </w:numPr>
            </w:pPr>
            <w:r>
              <w:t>can describe the impact of the environment on mealtimes</w:t>
            </w:r>
          </w:p>
          <w:p w14:paraId="3BF2C054" w14:textId="77777777" w:rsidR="00046F37" w:rsidRDefault="00046F37" w:rsidP="002A0E2A"/>
          <w:p w14:paraId="06A63BDD" w14:textId="07D20861" w:rsidR="00046F37" w:rsidRDefault="00046F37" w:rsidP="008A3AE5">
            <w:pPr>
              <w:pStyle w:val="ListParagraph"/>
              <w:numPr>
                <w:ilvl w:val="0"/>
                <w:numId w:val="29"/>
              </w:numPr>
            </w:pPr>
            <w:r>
              <w:t>can suggest ways to minimise negative environmental influences</w:t>
            </w:r>
          </w:p>
        </w:tc>
        <w:tc>
          <w:tcPr>
            <w:tcW w:w="2693" w:type="dxa"/>
          </w:tcPr>
          <w:p w14:paraId="32534974" w14:textId="7705D122" w:rsidR="00A83272" w:rsidRDefault="00046F37" w:rsidP="00123678">
            <w:r>
              <w:t>11, 14, 15</w:t>
            </w:r>
          </w:p>
        </w:tc>
        <w:tc>
          <w:tcPr>
            <w:tcW w:w="2602" w:type="dxa"/>
          </w:tcPr>
          <w:p w14:paraId="4035BB83" w14:textId="498EC875" w:rsidR="00A83272" w:rsidRDefault="00D110FD" w:rsidP="00123678">
            <w:r>
              <w:t>Discuss in supervision</w:t>
            </w:r>
          </w:p>
        </w:tc>
      </w:tr>
      <w:tr w:rsidR="00A83272" w14:paraId="65579CC2" w14:textId="77777777" w:rsidTr="00175961">
        <w:trPr>
          <w:trHeight w:val="144"/>
        </w:trPr>
        <w:tc>
          <w:tcPr>
            <w:tcW w:w="5778" w:type="dxa"/>
          </w:tcPr>
          <w:p w14:paraId="77B817AE" w14:textId="77777777" w:rsidR="00A83272" w:rsidRDefault="00177F02" w:rsidP="00175961">
            <w:pPr>
              <w:spacing w:after="160" w:line="259" w:lineRule="auto"/>
            </w:pPr>
            <w:r>
              <w:t>C</w:t>
            </w:r>
            <w:r w:rsidR="002A0E2A" w:rsidRPr="002A0E2A">
              <w:t xml:space="preserve">arry out oral facial </w:t>
            </w:r>
            <w:r>
              <w:t>(sensory and motor) examination</w:t>
            </w:r>
            <w:r w:rsidR="002A0E2A" w:rsidRPr="002A0E2A">
              <w:t xml:space="preserve"> on population without EDS difficulties</w:t>
            </w:r>
          </w:p>
          <w:p w14:paraId="75D82B72" w14:textId="6C805C96" w:rsidR="0016717A" w:rsidRDefault="0016717A" w:rsidP="00175961">
            <w:pPr>
              <w:spacing w:after="160" w:line="259" w:lineRule="auto"/>
            </w:pPr>
          </w:p>
        </w:tc>
        <w:tc>
          <w:tcPr>
            <w:tcW w:w="4395" w:type="dxa"/>
          </w:tcPr>
          <w:p w14:paraId="17E3B9CF" w14:textId="55A5EFCD" w:rsidR="00A83272" w:rsidRDefault="002A0E2A" w:rsidP="008A3AE5">
            <w:pPr>
              <w:pStyle w:val="ListParagraph"/>
              <w:numPr>
                <w:ilvl w:val="0"/>
                <w:numId w:val="30"/>
              </w:numPr>
            </w:pPr>
            <w:r>
              <w:t xml:space="preserve">can describe </w:t>
            </w:r>
            <w:proofErr w:type="spellStart"/>
            <w:r>
              <w:t>oro</w:t>
            </w:r>
            <w:proofErr w:type="spellEnd"/>
            <w:r>
              <w:t>-motor function and relate this to functional feeding skills</w:t>
            </w:r>
          </w:p>
          <w:p w14:paraId="60D38AD8" w14:textId="77777777" w:rsidR="0016717A" w:rsidRDefault="0016717A" w:rsidP="002A0E2A"/>
          <w:p w14:paraId="0107BC43" w14:textId="59ED7AD1" w:rsidR="0016717A" w:rsidRDefault="0016717A" w:rsidP="008A3AE5">
            <w:pPr>
              <w:pStyle w:val="ListParagraph"/>
              <w:numPr>
                <w:ilvl w:val="0"/>
                <w:numId w:val="30"/>
              </w:numPr>
            </w:pPr>
            <w:r>
              <w:t>can explain the lack of evidence base for non speech oral motor exercises</w:t>
            </w:r>
          </w:p>
        </w:tc>
        <w:tc>
          <w:tcPr>
            <w:tcW w:w="2693" w:type="dxa"/>
          </w:tcPr>
          <w:p w14:paraId="20CE15F5" w14:textId="2A466F58" w:rsidR="00A83272" w:rsidRPr="002A0E2A" w:rsidRDefault="002A0E2A" w:rsidP="00123678">
            <w:pPr>
              <w:rPr>
                <w:i/>
              </w:rPr>
            </w:pPr>
            <w:r w:rsidRPr="002A0E2A">
              <w:rPr>
                <w:i/>
              </w:rPr>
              <w:t>5</w:t>
            </w:r>
          </w:p>
        </w:tc>
        <w:tc>
          <w:tcPr>
            <w:tcW w:w="2602" w:type="dxa"/>
          </w:tcPr>
          <w:p w14:paraId="1D2D13A7" w14:textId="2C48C576" w:rsidR="00A83272" w:rsidRDefault="007F268F" w:rsidP="00123678">
            <w:r>
              <w:t>Review caseload for children/YP with speech difficulties</w:t>
            </w:r>
          </w:p>
        </w:tc>
      </w:tr>
      <w:tr w:rsidR="0016717A" w14:paraId="6B988C67" w14:textId="77777777" w:rsidTr="00175961">
        <w:trPr>
          <w:trHeight w:val="144"/>
        </w:trPr>
        <w:tc>
          <w:tcPr>
            <w:tcW w:w="5778" w:type="dxa"/>
          </w:tcPr>
          <w:p w14:paraId="70A761AB" w14:textId="5EBC9F16" w:rsidR="0016717A" w:rsidRDefault="0016717A" w:rsidP="00175961">
            <w:pPr>
              <w:spacing w:after="160" w:line="259" w:lineRule="auto"/>
            </w:pPr>
            <w:r>
              <w:t>Complete the ‘Pre-Registration Eating, Drinking and Swallowing e-learning’ produced by RSCLT and HEE</w:t>
            </w:r>
            <w:r w:rsidR="00FA5408">
              <w:t xml:space="preserve"> as part of university tutorials.</w:t>
            </w:r>
          </w:p>
          <w:p w14:paraId="2DAA4E80" w14:textId="757CF0E8" w:rsidR="0016717A" w:rsidRDefault="0016717A" w:rsidP="00175961">
            <w:pPr>
              <w:spacing w:after="160" w:line="259" w:lineRule="auto"/>
            </w:pPr>
            <w:r w:rsidRPr="0016717A">
              <w:t xml:space="preserve">This course is designed for pre-registration speech and language therapy </w:t>
            </w:r>
            <w:r w:rsidR="008A3AE5">
              <w:t>Learners</w:t>
            </w:r>
            <w:r w:rsidRPr="0016717A">
              <w:t xml:space="preserve"> to aid completion of the pre-registration eating, drinking, and swallowing (EDS) competencies.  You will learn about 2 adult and 2 paediatric clients who have EDS difficulties. On completion of the programme </w:t>
            </w:r>
            <w:r w:rsidR="008A3AE5">
              <w:t>Learners</w:t>
            </w:r>
            <w:r w:rsidRPr="0016717A">
              <w:t xml:space="preserve"> should send a copy of their assessment results to their higher education institute as part record of achievement of the competencies</w:t>
            </w:r>
          </w:p>
        </w:tc>
        <w:tc>
          <w:tcPr>
            <w:tcW w:w="4395" w:type="dxa"/>
          </w:tcPr>
          <w:p w14:paraId="5618381B" w14:textId="539E3E37" w:rsidR="0016717A" w:rsidRDefault="0016717A" w:rsidP="0016717A">
            <w:r>
              <w:t>Explore the pre-assessment, assessment, management, and discharge of two adult clients and two paediatric clients with EDS needs.</w:t>
            </w:r>
          </w:p>
          <w:p w14:paraId="7A2D36D3" w14:textId="77777777" w:rsidR="0016717A" w:rsidRDefault="0016717A" w:rsidP="0016717A">
            <w:r>
              <w:t xml:space="preserve">Work towards sign off of the </w:t>
            </w:r>
            <w:proofErr w:type="gramStart"/>
            <w:r>
              <w:t>hours</w:t>
            </w:r>
            <w:proofErr w:type="gramEnd"/>
            <w:r>
              <w:t xml:space="preserve"> component of the pre-registration EDS competencies.</w:t>
            </w:r>
          </w:p>
          <w:p w14:paraId="79924D07" w14:textId="339D46BF" w:rsidR="0016717A" w:rsidRDefault="0016717A" w:rsidP="0016717A">
            <w:r>
              <w:t>Achieve sign off of several competencies through an adult and a child-based assessment.</w:t>
            </w:r>
          </w:p>
        </w:tc>
        <w:tc>
          <w:tcPr>
            <w:tcW w:w="2693" w:type="dxa"/>
          </w:tcPr>
          <w:p w14:paraId="7CA1FF26" w14:textId="77777777" w:rsidR="0016717A" w:rsidRPr="002A0E2A" w:rsidRDefault="0016717A" w:rsidP="00123678">
            <w:pPr>
              <w:rPr>
                <w:i/>
              </w:rPr>
            </w:pPr>
          </w:p>
        </w:tc>
        <w:tc>
          <w:tcPr>
            <w:tcW w:w="2602" w:type="dxa"/>
          </w:tcPr>
          <w:p w14:paraId="6DC64D83" w14:textId="73FCD450" w:rsidR="0016717A" w:rsidRDefault="00D110FD" w:rsidP="00123678">
            <w:r>
              <w:t>Allocate time for the student to watch the e-learning</w:t>
            </w:r>
          </w:p>
        </w:tc>
      </w:tr>
    </w:tbl>
    <w:p w14:paraId="51AAA98D" w14:textId="77777777" w:rsidR="00B91883" w:rsidRDefault="00B91883"/>
    <w:p w14:paraId="1B375460" w14:textId="77777777" w:rsidR="00B91883" w:rsidRDefault="00B91883"/>
    <w:p w14:paraId="34ACABA9" w14:textId="77777777" w:rsidR="00B91883" w:rsidRDefault="00B91883"/>
    <w:p w14:paraId="5F42427E" w14:textId="77777777" w:rsidR="00B91883" w:rsidRDefault="00B91883"/>
    <w:p w14:paraId="0BFDBC49" w14:textId="77777777" w:rsidR="00B91883" w:rsidRDefault="00B91883"/>
    <w:p w14:paraId="202CEE33" w14:textId="77777777" w:rsidR="00B91883" w:rsidRDefault="00B91883"/>
    <w:p w14:paraId="76BADE69" w14:textId="77777777" w:rsidR="00B91883" w:rsidRDefault="00B91883"/>
    <w:p w14:paraId="79F351B6" w14:textId="77777777" w:rsidR="00B91883" w:rsidRDefault="00B91883"/>
    <w:p w14:paraId="06929ECB" w14:textId="77777777" w:rsidR="00B91883" w:rsidRDefault="00B91883"/>
    <w:p w14:paraId="41E285F9" w14:textId="77777777" w:rsidR="00B91883" w:rsidRDefault="00B91883"/>
    <w:p w14:paraId="2A3A6C16" w14:textId="77777777" w:rsidR="00B91883" w:rsidRDefault="00B91883"/>
    <w:p w14:paraId="1E515E89" w14:textId="77777777" w:rsidR="00B91883" w:rsidRDefault="00B91883"/>
    <w:p w14:paraId="32A47FBE" w14:textId="77777777" w:rsidR="00B91883" w:rsidRDefault="00B91883"/>
    <w:p w14:paraId="6BC56AEC" w14:textId="77777777" w:rsidR="00B91883" w:rsidRDefault="00B91883"/>
    <w:p w14:paraId="54BE7350" w14:textId="77777777" w:rsidR="00B91883" w:rsidRDefault="00B91883"/>
    <w:p w14:paraId="3C48947A" w14:textId="33CB1CBF" w:rsidR="00342B71" w:rsidRPr="0037220C" w:rsidRDefault="00342B71" w:rsidP="0037220C">
      <w:pPr>
        <w:rPr>
          <w:i/>
        </w:rPr>
      </w:pPr>
    </w:p>
    <w:sectPr w:rsidR="00342B71" w:rsidRPr="0037220C" w:rsidSect="00AC7292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3582" w14:textId="77777777" w:rsidR="00F87E82" w:rsidRDefault="00F87E82" w:rsidP="00F87E82">
      <w:pPr>
        <w:spacing w:after="0" w:line="240" w:lineRule="auto"/>
      </w:pPr>
      <w:r>
        <w:separator/>
      </w:r>
    </w:p>
  </w:endnote>
  <w:endnote w:type="continuationSeparator" w:id="0">
    <w:p w14:paraId="7AE50AE6" w14:textId="77777777" w:rsidR="00F87E82" w:rsidRDefault="00F87E82" w:rsidP="00F8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7E00" w14:textId="77777777" w:rsidR="00F87E82" w:rsidRDefault="00F87E82" w:rsidP="00F87E82">
      <w:pPr>
        <w:spacing w:after="0" w:line="240" w:lineRule="auto"/>
      </w:pPr>
      <w:r>
        <w:separator/>
      </w:r>
    </w:p>
  </w:footnote>
  <w:footnote w:type="continuationSeparator" w:id="0">
    <w:p w14:paraId="0935E64E" w14:textId="77777777" w:rsidR="00F87E82" w:rsidRDefault="00F87E82" w:rsidP="00F8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E975" w14:textId="2BCD4A58" w:rsidR="00744CCF" w:rsidRDefault="00744C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A49399" wp14:editId="779AD8E7">
          <wp:simplePos x="0" y="0"/>
          <wp:positionH relativeFrom="column">
            <wp:posOffset>-379818</wp:posOffset>
          </wp:positionH>
          <wp:positionV relativeFrom="paragraph">
            <wp:posOffset>-285750</wp:posOffset>
          </wp:positionV>
          <wp:extent cx="381000" cy="433693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336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FDFBA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45BB4"/>
    <w:multiLevelType w:val="hybridMultilevel"/>
    <w:tmpl w:val="3A509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6E7"/>
    <w:multiLevelType w:val="hybridMultilevel"/>
    <w:tmpl w:val="052CE4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1596"/>
    <w:multiLevelType w:val="hybridMultilevel"/>
    <w:tmpl w:val="F5AA0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9C7"/>
    <w:multiLevelType w:val="hybridMultilevel"/>
    <w:tmpl w:val="AFD05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5B44"/>
    <w:multiLevelType w:val="hybridMultilevel"/>
    <w:tmpl w:val="343090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916EBD"/>
    <w:multiLevelType w:val="hybridMultilevel"/>
    <w:tmpl w:val="1D301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0929"/>
    <w:multiLevelType w:val="hybridMultilevel"/>
    <w:tmpl w:val="BF56DC96"/>
    <w:lvl w:ilvl="0" w:tplc="6AC2F6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37692"/>
    <w:multiLevelType w:val="hybridMultilevel"/>
    <w:tmpl w:val="794CC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800E0"/>
    <w:multiLevelType w:val="hybridMultilevel"/>
    <w:tmpl w:val="CB68F2C4"/>
    <w:lvl w:ilvl="0" w:tplc="B2FCE11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21A5"/>
    <w:multiLevelType w:val="hybridMultilevel"/>
    <w:tmpl w:val="0262A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46E90"/>
    <w:multiLevelType w:val="hybridMultilevel"/>
    <w:tmpl w:val="B6D82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3D344D"/>
    <w:multiLevelType w:val="hybridMultilevel"/>
    <w:tmpl w:val="4614E9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3624A"/>
    <w:multiLevelType w:val="hybridMultilevel"/>
    <w:tmpl w:val="4BD80F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7034A"/>
    <w:multiLevelType w:val="hybridMultilevel"/>
    <w:tmpl w:val="8A6E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14C6E"/>
    <w:multiLevelType w:val="hybridMultilevel"/>
    <w:tmpl w:val="9FB21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F190C"/>
    <w:multiLevelType w:val="hybridMultilevel"/>
    <w:tmpl w:val="5140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E5E36"/>
    <w:multiLevelType w:val="hybridMultilevel"/>
    <w:tmpl w:val="2E2834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B240C"/>
    <w:multiLevelType w:val="hybridMultilevel"/>
    <w:tmpl w:val="136A3D1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C64CC"/>
    <w:multiLevelType w:val="hybridMultilevel"/>
    <w:tmpl w:val="4546FF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446E5"/>
    <w:multiLevelType w:val="hybridMultilevel"/>
    <w:tmpl w:val="E0F4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24E7E"/>
    <w:multiLevelType w:val="hybridMultilevel"/>
    <w:tmpl w:val="F918CDF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FEEEC0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E675A2"/>
    <w:multiLevelType w:val="hybridMultilevel"/>
    <w:tmpl w:val="8D5A1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37F82"/>
    <w:multiLevelType w:val="hybridMultilevel"/>
    <w:tmpl w:val="DDC8D45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D73AC6"/>
    <w:multiLevelType w:val="hybridMultilevel"/>
    <w:tmpl w:val="096A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14EC6"/>
    <w:multiLevelType w:val="hybridMultilevel"/>
    <w:tmpl w:val="52EE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337F3"/>
    <w:multiLevelType w:val="hybridMultilevel"/>
    <w:tmpl w:val="5526E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032E3F"/>
    <w:multiLevelType w:val="hybridMultilevel"/>
    <w:tmpl w:val="B2DE6F72"/>
    <w:lvl w:ilvl="0" w:tplc="6AC2F6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70DAF"/>
    <w:multiLevelType w:val="hybridMultilevel"/>
    <w:tmpl w:val="5B5E9E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204DE"/>
    <w:multiLevelType w:val="hybridMultilevel"/>
    <w:tmpl w:val="B91E3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36D97"/>
    <w:multiLevelType w:val="hybridMultilevel"/>
    <w:tmpl w:val="15B2AF8E"/>
    <w:lvl w:ilvl="0" w:tplc="682CC1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F10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5836148">
    <w:abstractNumId w:val="9"/>
  </w:num>
  <w:num w:numId="2" w16cid:durableId="1369910016">
    <w:abstractNumId w:val="27"/>
  </w:num>
  <w:num w:numId="3" w16cid:durableId="1314987180">
    <w:abstractNumId w:val="11"/>
  </w:num>
  <w:num w:numId="4" w16cid:durableId="992179648">
    <w:abstractNumId w:val="26"/>
  </w:num>
  <w:num w:numId="5" w16cid:durableId="1218122556">
    <w:abstractNumId w:val="30"/>
  </w:num>
  <w:num w:numId="6" w16cid:durableId="2143569891">
    <w:abstractNumId w:val="18"/>
  </w:num>
  <w:num w:numId="7" w16cid:durableId="1002702184">
    <w:abstractNumId w:val="15"/>
  </w:num>
  <w:num w:numId="8" w16cid:durableId="1013806228">
    <w:abstractNumId w:val="21"/>
  </w:num>
  <w:num w:numId="9" w16cid:durableId="725179995">
    <w:abstractNumId w:val="20"/>
  </w:num>
  <w:num w:numId="10" w16cid:durableId="523052868">
    <w:abstractNumId w:val="23"/>
  </w:num>
  <w:num w:numId="11" w16cid:durableId="735124843">
    <w:abstractNumId w:val="12"/>
  </w:num>
  <w:num w:numId="12" w16cid:durableId="491876370">
    <w:abstractNumId w:val="5"/>
  </w:num>
  <w:num w:numId="13" w16cid:durableId="1108621493">
    <w:abstractNumId w:val="19"/>
  </w:num>
  <w:num w:numId="14" w16cid:durableId="1835954923">
    <w:abstractNumId w:val="17"/>
  </w:num>
  <w:num w:numId="15" w16cid:durableId="463036448">
    <w:abstractNumId w:val="13"/>
  </w:num>
  <w:num w:numId="16" w16cid:durableId="1019618904">
    <w:abstractNumId w:val="28"/>
  </w:num>
  <w:num w:numId="17" w16cid:durableId="1987204005">
    <w:abstractNumId w:val="4"/>
  </w:num>
  <w:num w:numId="18" w16cid:durableId="1060715675">
    <w:abstractNumId w:val="29"/>
  </w:num>
  <w:num w:numId="19" w16cid:durableId="1139151893">
    <w:abstractNumId w:val="22"/>
  </w:num>
  <w:num w:numId="20" w16cid:durableId="743796335">
    <w:abstractNumId w:val="3"/>
  </w:num>
  <w:num w:numId="21" w16cid:durableId="1101143888">
    <w:abstractNumId w:val="8"/>
  </w:num>
  <w:num w:numId="22" w16cid:durableId="585503408">
    <w:abstractNumId w:val="25"/>
  </w:num>
  <w:num w:numId="23" w16cid:durableId="1149714295">
    <w:abstractNumId w:val="1"/>
  </w:num>
  <w:num w:numId="24" w16cid:durableId="880940901">
    <w:abstractNumId w:val="16"/>
  </w:num>
  <w:num w:numId="25" w16cid:durableId="84425607">
    <w:abstractNumId w:val="31"/>
  </w:num>
  <w:num w:numId="26" w16cid:durableId="1601377091">
    <w:abstractNumId w:val="0"/>
  </w:num>
  <w:num w:numId="27" w16cid:durableId="1019116169">
    <w:abstractNumId w:val="10"/>
  </w:num>
  <w:num w:numId="28" w16cid:durableId="1014842885">
    <w:abstractNumId w:val="2"/>
  </w:num>
  <w:num w:numId="29" w16cid:durableId="1684823297">
    <w:abstractNumId w:val="14"/>
  </w:num>
  <w:num w:numId="30" w16cid:durableId="285620543">
    <w:abstractNumId w:val="24"/>
  </w:num>
  <w:num w:numId="31" w16cid:durableId="1236084835">
    <w:abstractNumId w:val="6"/>
  </w:num>
  <w:num w:numId="32" w16cid:durableId="257755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B71"/>
    <w:rsid w:val="00005D57"/>
    <w:rsid w:val="00006774"/>
    <w:rsid w:val="00007199"/>
    <w:rsid w:val="00046F37"/>
    <w:rsid w:val="00062928"/>
    <w:rsid w:val="000B279C"/>
    <w:rsid w:val="00123678"/>
    <w:rsid w:val="00160CAC"/>
    <w:rsid w:val="0016717A"/>
    <w:rsid w:val="00175961"/>
    <w:rsid w:val="00177F02"/>
    <w:rsid w:val="00193949"/>
    <w:rsid w:val="001D308D"/>
    <w:rsid w:val="0026319D"/>
    <w:rsid w:val="0028353B"/>
    <w:rsid w:val="002A0E2A"/>
    <w:rsid w:val="00301BF6"/>
    <w:rsid w:val="00342B71"/>
    <w:rsid w:val="0037220C"/>
    <w:rsid w:val="00384A6D"/>
    <w:rsid w:val="003C49F2"/>
    <w:rsid w:val="003E1E51"/>
    <w:rsid w:val="00473982"/>
    <w:rsid w:val="004A062A"/>
    <w:rsid w:val="004A7A0C"/>
    <w:rsid w:val="004E0436"/>
    <w:rsid w:val="004F531E"/>
    <w:rsid w:val="004F68EA"/>
    <w:rsid w:val="00520B23"/>
    <w:rsid w:val="00521F04"/>
    <w:rsid w:val="005637AA"/>
    <w:rsid w:val="005640A9"/>
    <w:rsid w:val="00591A55"/>
    <w:rsid w:val="005C2219"/>
    <w:rsid w:val="00631271"/>
    <w:rsid w:val="0065261F"/>
    <w:rsid w:val="006B639B"/>
    <w:rsid w:val="006C07BA"/>
    <w:rsid w:val="00744CCF"/>
    <w:rsid w:val="007B7818"/>
    <w:rsid w:val="007D4120"/>
    <w:rsid w:val="007F268F"/>
    <w:rsid w:val="00802825"/>
    <w:rsid w:val="00803746"/>
    <w:rsid w:val="0082761A"/>
    <w:rsid w:val="008522B7"/>
    <w:rsid w:val="008557B3"/>
    <w:rsid w:val="008564FB"/>
    <w:rsid w:val="008A3AE5"/>
    <w:rsid w:val="008F49CE"/>
    <w:rsid w:val="00965BA1"/>
    <w:rsid w:val="00983620"/>
    <w:rsid w:val="009B769C"/>
    <w:rsid w:val="009F5842"/>
    <w:rsid w:val="00A83272"/>
    <w:rsid w:val="00AC7292"/>
    <w:rsid w:val="00B47959"/>
    <w:rsid w:val="00B916FF"/>
    <w:rsid w:val="00B91883"/>
    <w:rsid w:val="00BA6F75"/>
    <w:rsid w:val="00BB466F"/>
    <w:rsid w:val="00BD5916"/>
    <w:rsid w:val="00BE6A4C"/>
    <w:rsid w:val="00C37DBA"/>
    <w:rsid w:val="00D03E16"/>
    <w:rsid w:val="00D110FD"/>
    <w:rsid w:val="00D156E9"/>
    <w:rsid w:val="00D3177C"/>
    <w:rsid w:val="00DE525A"/>
    <w:rsid w:val="00EB4AFA"/>
    <w:rsid w:val="00F87E82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E2403"/>
  <w15:docId w15:val="{D45825AD-3BDF-4C88-995F-C49683E8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71"/>
    <w:pPr>
      <w:ind w:left="720"/>
      <w:contextualSpacing/>
    </w:pPr>
  </w:style>
  <w:style w:type="table" w:styleId="ColorfulShading-Accent5">
    <w:name w:val="Colorful Shading Accent 5"/>
    <w:basedOn w:val="TableNormal"/>
    <w:uiPriority w:val="71"/>
    <w:rsid w:val="00BB466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7B781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8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18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91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7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E82"/>
  </w:style>
  <w:style w:type="paragraph" w:styleId="Footer">
    <w:name w:val="footer"/>
    <w:basedOn w:val="Normal"/>
    <w:link w:val="FooterChar"/>
    <w:uiPriority w:val="99"/>
    <w:unhideWhenUsed/>
    <w:rsid w:val="00F87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E82"/>
  </w:style>
  <w:style w:type="character" w:styleId="UnresolvedMention">
    <w:name w:val="Unresolved Mention"/>
    <w:basedOn w:val="DefaultParagraphFont"/>
    <w:uiPriority w:val="99"/>
    <w:semiHidden/>
    <w:unhideWhenUsed/>
    <w:rsid w:val="00965B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56E9"/>
    <w:rPr>
      <w:color w:val="800080" w:themeColor="followedHyperlink"/>
      <w:u w:val="single"/>
    </w:rPr>
  </w:style>
  <w:style w:type="paragraph" w:customStyle="1" w:styleId="Default">
    <w:name w:val="Default"/>
    <w:rsid w:val="008276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\\homerton.local\HomertonTrust\SLT%20for%20Children%20and%20Young%20people\SLT%20Team\Students\EDS%20Pre-registration\Videos%20and%20recommend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ssexcommunity.nhs.uk/get-involved/research/chailey-research/eating-drinking-classification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SLT%20for%20Children%20and%20Young%20people\Clinical%20Resources\Clinical%20Area\EDS\3.%20Train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S:\SLT%20for%20Children%20and%20Young%20people\SLT%20Team\Students\EDS%20Pre-registration\Mainstream%20mealtime%20environment%20observation\BLANK%20Lunch%20Hall%20Observation%20sheet%20for%20typical%20development%20-%20STUDENT%20SAL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dsi.org/Framewor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1D29-20DA-437B-BCE1-522A7E53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1274</Words>
  <Characters>7263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Homerton University Hospital NHS Foundation Trust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sara.adeleke</dc:creator>
  <cp:lastModifiedBy>Kathleen Graham</cp:lastModifiedBy>
  <cp:revision>2</cp:revision>
  <dcterms:created xsi:type="dcterms:W3CDTF">2023-07-10T09:05:00Z</dcterms:created>
  <dcterms:modified xsi:type="dcterms:W3CDTF">2023-07-10T09:05:00Z</dcterms:modified>
</cp:coreProperties>
</file>