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3E5B9D7" w14:textId="6C8723FD" w:rsidR="00B57A30" w:rsidRPr="00762A78" w:rsidRDefault="00762A78" w:rsidP="00762A78">
      <w:pPr>
        <w:pStyle w:val="Title"/>
        <w:rPr>
          <w:color w:val="000000" w:themeColor="text1"/>
          <w:sz w:val="56"/>
          <w:szCs w:val="56"/>
        </w:rPr>
      </w:pPr>
      <w:r w:rsidRPr="00762A78">
        <w:rPr>
          <w:color w:val="000000" w:themeColor="text1"/>
          <w:sz w:val="56"/>
          <w:szCs w:val="56"/>
        </w:rPr>
        <w:t xml:space="preserve">Curriculum Guidance: Preparing </w:t>
      </w:r>
      <w:r w:rsidR="00217A7A">
        <w:rPr>
          <w:color w:val="000000" w:themeColor="text1"/>
          <w:sz w:val="56"/>
          <w:szCs w:val="56"/>
        </w:rPr>
        <w:t>p</w:t>
      </w:r>
      <w:r w:rsidRPr="00762A78">
        <w:rPr>
          <w:color w:val="000000" w:themeColor="text1"/>
          <w:sz w:val="56"/>
          <w:szCs w:val="56"/>
        </w:rPr>
        <w:t xml:space="preserve">re-registration </w:t>
      </w:r>
      <w:r w:rsidR="00AC1090">
        <w:rPr>
          <w:color w:val="000000" w:themeColor="text1"/>
          <w:sz w:val="56"/>
          <w:szCs w:val="56"/>
        </w:rPr>
        <w:t>s</w:t>
      </w:r>
      <w:r w:rsidRPr="00762A78">
        <w:rPr>
          <w:color w:val="000000" w:themeColor="text1"/>
          <w:sz w:val="56"/>
          <w:szCs w:val="56"/>
        </w:rPr>
        <w:t xml:space="preserve">peech and </w:t>
      </w:r>
      <w:r w:rsidR="00AC1090">
        <w:rPr>
          <w:color w:val="000000" w:themeColor="text1"/>
          <w:sz w:val="56"/>
          <w:szCs w:val="56"/>
        </w:rPr>
        <w:t>l</w:t>
      </w:r>
      <w:r w:rsidRPr="00762A78">
        <w:rPr>
          <w:color w:val="000000" w:themeColor="text1"/>
          <w:sz w:val="56"/>
          <w:szCs w:val="56"/>
        </w:rPr>
        <w:t xml:space="preserve">anguage </w:t>
      </w:r>
      <w:r w:rsidR="00AC1090">
        <w:rPr>
          <w:color w:val="000000" w:themeColor="text1"/>
          <w:sz w:val="56"/>
          <w:szCs w:val="56"/>
        </w:rPr>
        <w:t>t</w:t>
      </w:r>
      <w:r w:rsidRPr="00762A78">
        <w:rPr>
          <w:color w:val="000000" w:themeColor="text1"/>
          <w:sz w:val="56"/>
          <w:szCs w:val="56"/>
        </w:rPr>
        <w:t xml:space="preserve">herapy </w:t>
      </w:r>
      <w:r w:rsidR="00AC1090">
        <w:rPr>
          <w:color w:val="000000" w:themeColor="text1"/>
          <w:sz w:val="56"/>
          <w:szCs w:val="56"/>
        </w:rPr>
        <w:t>l</w:t>
      </w:r>
      <w:r w:rsidRPr="00762A78">
        <w:rPr>
          <w:color w:val="000000" w:themeColor="text1"/>
          <w:sz w:val="56"/>
          <w:szCs w:val="56"/>
        </w:rPr>
        <w:t xml:space="preserve">earners for the </w:t>
      </w:r>
      <w:r w:rsidR="00AC1090">
        <w:rPr>
          <w:color w:val="000000" w:themeColor="text1"/>
          <w:sz w:val="56"/>
          <w:szCs w:val="56"/>
        </w:rPr>
        <w:t>p</w:t>
      </w:r>
      <w:r w:rsidRPr="00762A78">
        <w:rPr>
          <w:color w:val="000000" w:themeColor="text1"/>
          <w:sz w:val="56"/>
          <w:szCs w:val="56"/>
        </w:rPr>
        <w:t xml:space="preserve">rofessional </w:t>
      </w:r>
      <w:r w:rsidR="00AC1090">
        <w:rPr>
          <w:color w:val="000000" w:themeColor="text1"/>
          <w:sz w:val="56"/>
          <w:szCs w:val="56"/>
        </w:rPr>
        <w:t>w</w:t>
      </w:r>
      <w:r w:rsidRPr="00762A78">
        <w:rPr>
          <w:color w:val="000000" w:themeColor="text1"/>
          <w:sz w:val="56"/>
          <w:szCs w:val="56"/>
        </w:rPr>
        <w:t>orkplace</w:t>
      </w:r>
    </w:p>
    <w:p w14:paraId="6F1739AE" w14:textId="77777777" w:rsidR="00BE7C09" w:rsidRPr="00762A78" w:rsidRDefault="00D45F61" w:rsidP="00762A78">
      <w:pPr>
        <w:pStyle w:val="Subtitle"/>
        <w:rPr>
          <w:color w:val="000000" w:themeColor="text1"/>
        </w:rPr>
      </w:pPr>
      <w:r w:rsidRPr="00762A78">
        <w:rPr>
          <w:color w:val="000000" w:themeColor="text1"/>
        </w:rPr>
        <w:t>DRAFT FOR CONSULTATION</w:t>
      </w:r>
    </w:p>
    <w:p w14:paraId="690CBA79" w14:textId="31749A59" w:rsidR="00BE7C09" w:rsidRPr="005C1B41" w:rsidRDefault="005C1B41" w:rsidP="007A1E52">
      <w:pPr>
        <w:pStyle w:val="Subtitle"/>
        <w:rPr>
          <w:color w:val="000000" w:themeColor="text1"/>
          <w:sz w:val="28"/>
          <w:szCs w:val="18"/>
        </w:rPr>
      </w:pPr>
      <w:r w:rsidRPr="005C1B41">
        <w:rPr>
          <w:color w:val="000000" w:themeColor="text1"/>
          <w:sz w:val="28"/>
          <w:szCs w:val="18"/>
        </w:rPr>
        <w:t>May 2025</w:t>
      </w:r>
    </w:p>
    <w:p w14:paraId="285AB450" w14:textId="6F1ABCEC" w:rsidR="00BE7C09" w:rsidRDefault="0051091B" w:rsidP="00D45F61">
      <w:pPr>
        <w:pStyle w:val="Heading4"/>
      </w:pPr>
      <w:r>
        <w:t xml:space="preserve">Project manager </w:t>
      </w:r>
      <w:r w:rsidR="00143E4E">
        <w:t xml:space="preserve">Mamta Beaver </w:t>
      </w:r>
      <w:proofErr w:type="gramStart"/>
      <w:r w:rsidR="00143E4E">
        <w:t xml:space="preserve">- </w:t>
      </w:r>
      <w:r w:rsidR="1B6205B7">
        <w:t xml:space="preserve"> </w:t>
      </w:r>
      <w:r w:rsidRPr="0051091B">
        <w:t>mamta.beaver@rcslt.org</w:t>
      </w:r>
      <w:proofErr w:type="gramEnd"/>
    </w:p>
    <w:p w14:paraId="3AC41A4F" w14:textId="5D4FE505" w:rsidR="00D45F61" w:rsidRPr="00D45F61" w:rsidRDefault="00D45F61" w:rsidP="00D45F61">
      <w:pPr>
        <w:pStyle w:val="Heading4"/>
        <w:rPr>
          <w:rFonts w:eastAsia="Open Sans"/>
          <w:color w:val="auto"/>
        </w:rPr>
      </w:pPr>
      <w:r w:rsidRPr="008739F4">
        <w:rPr>
          <w:rFonts w:eastAsia="Open Sans"/>
          <w:color w:val="A20000"/>
        </w:rPr>
        <w:t xml:space="preserve">Information contained within this document is </w:t>
      </w:r>
      <w:r w:rsidR="005F6B3E" w:rsidRPr="008739F4">
        <w:rPr>
          <w:rFonts w:eastAsia="Open Sans"/>
          <w:color w:val="A20000"/>
        </w:rPr>
        <w:t xml:space="preserve">for consultation only </w:t>
      </w:r>
      <w:r w:rsidRPr="008739F4">
        <w:rPr>
          <w:rFonts w:eastAsia="Open Sans"/>
          <w:color w:val="A20000"/>
        </w:rPr>
        <w:t>and should not be shared</w:t>
      </w:r>
      <w:r w:rsidR="005F6B3E" w:rsidRPr="008739F4">
        <w:rPr>
          <w:rFonts w:eastAsia="Open Sans"/>
          <w:color w:val="A20000"/>
        </w:rPr>
        <w:t xml:space="preserve"> outside of this</w:t>
      </w:r>
      <w:r w:rsidRPr="008739F4">
        <w:rPr>
          <w:rFonts w:eastAsia="Open Sans"/>
          <w:color w:val="A20000"/>
        </w:rPr>
        <w:t>.</w:t>
      </w:r>
    </w:p>
    <w:p w14:paraId="103219DA" w14:textId="77777777" w:rsidR="00D45F61" w:rsidRPr="00D45F61" w:rsidRDefault="00D45F61" w:rsidP="00D45F61">
      <w:r w:rsidRPr="00D45F61">
        <w:t> </w:t>
      </w:r>
    </w:p>
    <w:p w14:paraId="6D1668CE" w14:textId="77777777" w:rsidR="00EA2F68" w:rsidRPr="00EA2F68" w:rsidRDefault="00D45F61" w:rsidP="00D45F61">
      <w:pPr>
        <w:rPr>
          <w:b/>
          <w:bCs/>
          <w:sz w:val="21"/>
          <w:szCs w:val="21"/>
        </w:rPr>
      </w:pPr>
      <w:r w:rsidRPr="00EA2F68">
        <w:rPr>
          <w:b/>
          <w:bCs/>
          <w:sz w:val="21"/>
          <w:szCs w:val="21"/>
        </w:rPr>
        <w:t>Th</w:t>
      </w:r>
      <w:r w:rsidR="00EA2F68" w:rsidRPr="00EA2F68">
        <w:rPr>
          <w:b/>
          <w:bCs/>
          <w:sz w:val="21"/>
          <w:szCs w:val="21"/>
        </w:rPr>
        <w:t>e information in this document is currently in</w:t>
      </w:r>
      <w:r w:rsidRPr="00EA2F68">
        <w:rPr>
          <w:b/>
          <w:bCs/>
          <w:sz w:val="21"/>
          <w:szCs w:val="21"/>
        </w:rPr>
        <w:t xml:space="preserve"> development and </w:t>
      </w:r>
      <w:r w:rsidR="00EA2F68" w:rsidRPr="00EA2F68">
        <w:rPr>
          <w:b/>
          <w:bCs/>
          <w:sz w:val="21"/>
          <w:szCs w:val="21"/>
        </w:rPr>
        <w:t xml:space="preserve">has been shared as part of a consultation. If you are seeking guidance or information on this topic, please ensure you refer to final published content which can be found on rcslt.org.  </w:t>
      </w:r>
    </w:p>
    <w:p w14:paraId="0FBF91E9" w14:textId="77777777" w:rsidR="00EA2F68" w:rsidRDefault="00EA2F68" w:rsidP="00D45F61">
      <w:r>
        <w:t>W</w:t>
      </w:r>
      <w:r w:rsidR="00D45F61" w:rsidRPr="00D45F61">
        <w:t xml:space="preserve">e appreciate </w:t>
      </w:r>
      <w:r>
        <w:t xml:space="preserve">any </w:t>
      </w:r>
      <w:r w:rsidR="00D45F61" w:rsidRPr="00D45F61">
        <w:t>comments</w:t>
      </w:r>
      <w:r>
        <w:t xml:space="preserve"> provided to us during the consultation, all of which </w:t>
      </w:r>
      <w:r w:rsidR="00D45F61" w:rsidRPr="00D45F61">
        <w:t xml:space="preserve">will be reviewed by the working group within the </w:t>
      </w:r>
      <w:r>
        <w:t>c</w:t>
      </w:r>
      <w:r w:rsidR="00D45F61" w:rsidRPr="00D45F61">
        <w:t>ontext and scope of the project. We ask that</w:t>
      </w:r>
      <w:r>
        <w:t>,</w:t>
      </w:r>
      <w:r w:rsidR="00D45F61" w:rsidRPr="00D45F61">
        <w:t xml:space="preserve"> where possible and relevant</w:t>
      </w:r>
      <w:r>
        <w:t>,</w:t>
      </w:r>
      <w:r w:rsidR="00D45F61" w:rsidRPr="00D45F61">
        <w:t xml:space="preserve"> you accompany any counter arguments to statements made in the document with supporting evidence e.g. a research reference.  </w:t>
      </w:r>
    </w:p>
    <w:p w14:paraId="434D60D9" w14:textId="77777777" w:rsidR="00D45F61" w:rsidRPr="00D45F61" w:rsidRDefault="00D45F61" w:rsidP="00D45F61">
      <w:r>
        <w:t>Members of the working group should not be contacted directly, and all feedback should be made through the assigned route</w:t>
      </w:r>
      <w:r w:rsidR="6A3D123C">
        <w:t xml:space="preserve"> </w:t>
      </w:r>
      <w:r>
        <w:t>e.g. via survey or project manager. Feedback made through unassigned routes or after the closing date will not be accepted</w:t>
      </w:r>
      <w:r w:rsidR="269CDD47">
        <w:t xml:space="preserve"> or responded to</w:t>
      </w:r>
      <w:r>
        <w:t>. </w:t>
      </w:r>
    </w:p>
    <w:p w14:paraId="0A89506F" w14:textId="77777777" w:rsidR="00BE7C09" w:rsidRDefault="1DB44ECB" w:rsidP="00D45F61">
      <w:pPr>
        <w:pStyle w:val="BodyText"/>
      </w:pPr>
      <w:r>
        <w:t>Thank you for your support with this project.</w:t>
      </w:r>
    </w:p>
    <w:p w14:paraId="50DF5F81" w14:textId="77777777" w:rsidR="00D45F61" w:rsidRDefault="00D45F61" w:rsidP="00D45F61">
      <w:pPr>
        <w:pStyle w:val="BodyText"/>
      </w:pPr>
    </w:p>
    <w:p w14:paraId="093C1505" w14:textId="77777777" w:rsidR="00D45F61" w:rsidRDefault="00D45F61" w:rsidP="00D45F61">
      <w:pPr>
        <w:pStyle w:val="BodyText"/>
      </w:pPr>
    </w:p>
    <w:p w14:paraId="0B002DE4" w14:textId="64942CCB" w:rsidR="008552AC" w:rsidRDefault="008552AC">
      <w:pPr>
        <w:rPr>
          <w:rFonts w:eastAsia="Open Sans"/>
          <w:color w:val="auto"/>
          <w:highlight w:val="yellow"/>
        </w:rPr>
      </w:pPr>
      <w:r>
        <w:rPr>
          <w:highlight w:val="yellow"/>
        </w:rPr>
        <w:br w:type="page"/>
      </w:r>
    </w:p>
    <w:p w14:paraId="34053B11" w14:textId="77777777" w:rsidR="00D45F61" w:rsidRDefault="00D45F61" w:rsidP="00D45F61">
      <w:pPr>
        <w:pStyle w:val="BodyText"/>
      </w:pPr>
    </w:p>
    <w:p w14:paraId="47B7CBA6" w14:textId="7D1B951C" w:rsidR="00D45F61" w:rsidRPr="00762A78" w:rsidRDefault="00762A78" w:rsidP="00D45F61">
      <w:pPr>
        <w:pStyle w:val="BodyText"/>
        <w:rPr>
          <w:b/>
          <w:bCs/>
          <w:sz w:val="56"/>
          <w:szCs w:val="56"/>
        </w:rPr>
      </w:pPr>
      <w:r w:rsidRPr="00762A78">
        <w:rPr>
          <w:b/>
          <w:bCs/>
          <w:sz w:val="56"/>
          <w:szCs w:val="56"/>
        </w:rPr>
        <w:t>Contents</w:t>
      </w:r>
    </w:p>
    <w:p w14:paraId="710C7C4A" w14:textId="77777777" w:rsidR="00D45F61" w:rsidRDefault="00D45F61" w:rsidP="00D45F61">
      <w:pPr>
        <w:pStyle w:val="BodyText"/>
      </w:pPr>
    </w:p>
    <w:sdt>
      <w:sdtPr>
        <w:id w:val="-1766681197"/>
        <w:docPartObj>
          <w:docPartGallery w:val="Table of Contents"/>
          <w:docPartUnique/>
        </w:docPartObj>
      </w:sdtPr>
      <w:sdtEndPr>
        <w:rPr>
          <w:b/>
          <w:bCs/>
          <w:noProof/>
        </w:rPr>
      </w:sdtEndPr>
      <w:sdtContent>
        <w:p w14:paraId="5E37070A" w14:textId="3CB024A0" w:rsidR="007A1E52" w:rsidRPr="00176502" w:rsidRDefault="007A1E52" w:rsidP="00176502">
          <w:pPr>
            <w:rPr>
              <w:sz w:val="2"/>
              <w:szCs w:val="2"/>
            </w:rPr>
          </w:pPr>
        </w:p>
        <w:p w14:paraId="4C221BB7" w14:textId="2631B607" w:rsidR="0095374A" w:rsidRDefault="002904A6">
          <w:pPr>
            <w:pStyle w:val="TOC1"/>
            <w:tabs>
              <w:tab w:val="right" w:leader="dot" w:pos="9060"/>
            </w:tabs>
            <w:rPr>
              <w:rFonts w:asciiTheme="minorHAnsi" w:eastAsiaTheme="minorEastAsia" w:hAnsiTheme="minorHAnsi" w:cstheme="minorBidi"/>
              <w:b w:val="0"/>
              <w:bCs w:val="0"/>
              <w:noProof/>
              <w:color w:val="auto"/>
              <w:kern w:val="2"/>
              <w:sz w:val="24"/>
              <w:szCs w:val="24"/>
              <w:lang w:eastAsia="en-GB"/>
              <w14:ligatures w14:val="standardContextual"/>
            </w:rPr>
          </w:pPr>
          <w:r>
            <w:rPr>
              <w:rFonts w:asciiTheme="minorHAnsi" w:hAnsiTheme="minorHAnsi"/>
              <w:sz w:val="22"/>
            </w:rPr>
            <w:fldChar w:fldCharType="begin"/>
          </w:r>
          <w:r>
            <w:rPr>
              <w:rFonts w:asciiTheme="minorHAnsi" w:hAnsiTheme="minorHAnsi"/>
              <w:sz w:val="22"/>
            </w:rPr>
            <w:instrText xml:space="preserve"> TOC \o "1-3" \h \z \u </w:instrText>
          </w:r>
          <w:r>
            <w:rPr>
              <w:rFonts w:asciiTheme="minorHAnsi" w:hAnsiTheme="minorHAnsi"/>
              <w:sz w:val="22"/>
            </w:rPr>
            <w:fldChar w:fldCharType="separate"/>
          </w:r>
          <w:hyperlink w:anchor="_Toc197420385" w:history="1">
            <w:r w:rsidR="0095374A" w:rsidRPr="00EC0DB3">
              <w:rPr>
                <w:rStyle w:val="Hyperlink"/>
                <w:noProof/>
              </w:rPr>
              <w:t>Acronyms and glossary terms</w:t>
            </w:r>
            <w:r w:rsidR="0095374A">
              <w:rPr>
                <w:noProof/>
                <w:webHidden/>
              </w:rPr>
              <w:tab/>
            </w:r>
            <w:r w:rsidR="0095374A">
              <w:rPr>
                <w:noProof/>
                <w:webHidden/>
              </w:rPr>
              <w:fldChar w:fldCharType="begin"/>
            </w:r>
            <w:r w:rsidR="0095374A">
              <w:rPr>
                <w:noProof/>
                <w:webHidden/>
              </w:rPr>
              <w:instrText xml:space="preserve"> PAGEREF _Toc197420385 \h </w:instrText>
            </w:r>
            <w:r w:rsidR="0095374A">
              <w:rPr>
                <w:noProof/>
                <w:webHidden/>
              </w:rPr>
            </w:r>
            <w:r w:rsidR="0095374A">
              <w:rPr>
                <w:noProof/>
                <w:webHidden/>
              </w:rPr>
              <w:fldChar w:fldCharType="separate"/>
            </w:r>
            <w:r w:rsidR="0095374A">
              <w:rPr>
                <w:noProof/>
                <w:webHidden/>
              </w:rPr>
              <w:t>3</w:t>
            </w:r>
            <w:r w:rsidR="0095374A">
              <w:rPr>
                <w:noProof/>
                <w:webHidden/>
              </w:rPr>
              <w:fldChar w:fldCharType="end"/>
            </w:r>
          </w:hyperlink>
        </w:p>
        <w:p w14:paraId="538E2714" w14:textId="410E3E3A" w:rsidR="0095374A" w:rsidRDefault="0095374A">
          <w:pPr>
            <w:pStyle w:val="TOC1"/>
            <w:tabs>
              <w:tab w:val="right" w:leader="dot" w:pos="906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97420386" w:history="1">
            <w:r w:rsidRPr="00EC0DB3">
              <w:rPr>
                <w:rStyle w:val="Hyperlink"/>
                <w:noProof/>
              </w:rPr>
              <w:t>Section 1: Overview of the 2025 update</w:t>
            </w:r>
            <w:r>
              <w:rPr>
                <w:noProof/>
                <w:webHidden/>
              </w:rPr>
              <w:tab/>
            </w:r>
            <w:r>
              <w:rPr>
                <w:noProof/>
                <w:webHidden/>
              </w:rPr>
              <w:fldChar w:fldCharType="begin"/>
            </w:r>
            <w:r>
              <w:rPr>
                <w:noProof/>
                <w:webHidden/>
              </w:rPr>
              <w:instrText xml:space="preserve"> PAGEREF _Toc197420386 \h </w:instrText>
            </w:r>
            <w:r>
              <w:rPr>
                <w:noProof/>
                <w:webHidden/>
              </w:rPr>
            </w:r>
            <w:r>
              <w:rPr>
                <w:noProof/>
                <w:webHidden/>
              </w:rPr>
              <w:fldChar w:fldCharType="separate"/>
            </w:r>
            <w:r>
              <w:rPr>
                <w:noProof/>
                <w:webHidden/>
              </w:rPr>
              <w:t>5</w:t>
            </w:r>
            <w:r>
              <w:rPr>
                <w:noProof/>
                <w:webHidden/>
              </w:rPr>
              <w:fldChar w:fldCharType="end"/>
            </w:r>
          </w:hyperlink>
        </w:p>
        <w:p w14:paraId="0F7DFDD0" w14:textId="793DA5AD"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387" w:history="1">
            <w:r w:rsidRPr="00EC0DB3">
              <w:rPr>
                <w:rStyle w:val="Hyperlink"/>
                <w:noProof/>
              </w:rPr>
              <w:t>Document revision background and rationale</w:t>
            </w:r>
            <w:r>
              <w:rPr>
                <w:noProof/>
                <w:webHidden/>
              </w:rPr>
              <w:tab/>
            </w:r>
            <w:r>
              <w:rPr>
                <w:noProof/>
                <w:webHidden/>
              </w:rPr>
              <w:fldChar w:fldCharType="begin"/>
            </w:r>
            <w:r>
              <w:rPr>
                <w:noProof/>
                <w:webHidden/>
              </w:rPr>
              <w:instrText xml:space="preserve"> PAGEREF _Toc197420387 \h </w:instrText>
            </w:r>
            <w:r>
              <w:rPr>
                <w:noProof/>
                <w:webHidden/>
              </w:rPr>
            </w:r>
            <w:r>
              <w:rPr>
                <w:noProof/>
                <w:webHidden/>
              </w:rPr>
              <w:fldChar w:fldCharType="separate"/>
            </w:r>
            <w:r>
              <w:rPr>
                <w:noProof/>
                <w:webHidden/>
              </w:rPr>
              <w:t>5</w:t>
            </w:r>
            <w:r>
              <w:rPr>
                <w:noProof/>
                <w:webHidden/>
              </w:rPr>
              <w:fldChar w:fldCharType="end"/>
            </w:r>
          </w:hyperlink>
        </w:p>
        <w:p w14:paraId="6F7EDC57" w14:textId="3D47032C" w:rsidR="0095374A" w:rsidRDefault="0095374A">
          <w:pPr>
            <w:pStyle w:val="TOC1"/>
            <w:tabs>
              <w:tab w:val="right" w:leader="dot" w:pos="906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97420388" w:history="1">
            <w:r w:rsidRPr="00EC0DB3">
              <w:rPr>
                <w:rStyle w:val="Hyperlink"/>
                <w:noProof/>
              </w:rPr>
              <w:t>Section 2: Guidance for development and delivery of pre-registration programmes</w:t>
            </w:r>
            <w:r>
              <w:rPr>
                <w:noProof/>
                <w:webHidden/>
              </w:rPr>
              <w:tab/>
            </w:r>
            <w:r>
              <w:rPr>
                <w:noProof/>
                <w:webHidden/>
              </w:rPr>
              <w:fldChar w:fldCharType="begin"/>
            </w:r>
            <w:r>
              <w:rPr>
                <w:noProof/>
                <w:webHidden/>
              </w:rPr>
              <w:instrText xml:space="preserve"> PAGEREF _Toc197420388 \h </w:instrText>
            </w:r>
            <w:r>
              <w:rPr>
                <w:noProof/>
                <w:webHidden/>
              </w:rPr>
            </w:r>
            <w:r>
              <w:rPr>
                <w:noProof/>
                <w:webHidden/>
              </w:rPr>
              <w:fldChar w:fldCharType="separate"/>
            </w:r>
            <w:r>
              <w:rPr>
                <w:noProof/>
                <w:webHidden/>
              </w:rPr>
              <w:t>6</w:t>
            </w:r>
            <w:r>
              <w:rPr>
                <w:noProof/>
                <w:webHidden/>
              </w:rPr>
              <w:fldChar w:fldCharType="end"/>
            </w:r>
          </w:hyperlink>
        </w:p>
        <w:p w14:paraId="70D7F641" w14:textId="37CB1E9C"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389" w:history="1">
            <w:r w:rsidRPr="00EC0DB3">
              <w:rPr>
                <w:rStyle w:val="Hyperlink"/>
                <w:noProof/>
              </w:rPr>
              <w:t>2.1 Recruitment and admissions</w:t>
            </w:r>
            <w:r>
              <w:rPr>
                <w:noProof/>
                <w:webHidden/>
              </w:rPr>
              <w:tab/>
            </w:r>
            <w:r>
              <w:rPr>
                <w:noProof/>
                <w:webHidden/>
              </w:rPr>
              <w:fldChar w:fldCharType="begin"/>
            </w:r>
            <w:r>
              <w:rPr>
                <w:noProof/>
                <w:webHidden/>
              </w:rPr>
              <w:instrText xml:space="preserve"> PAGEREF _Toc197420389 \h </w:instrText>
            </w:r>
            <w:r>
              <w:rPr>
                <w:noProof/>
                <w:webHidden/>
              </w:rPr>
            </w:r>
            <w:r>
              <w:rPr>
                <w:noProof/>
                <w:webHidden/>
              </w:rPr>
              <w:fldChar w:fldCharType="separate"/>
            </w:r>
            <w:r>
              <w:rPr>
                <w:noProof/>
                <w:webHidden/>
              </w:rPr>
              <w:t>6</w:t>
            </w:r>
            <w:r>
              <w:rPr>
                <w:noProof/>
                <w:webHidden/>
              </w:rPr>
              <w:fldChar w:fldCharType="end"/>
            </w:r>
          </w:hyperlink>
        </w:p>
        <w:p w14:paraId="280F172C" w14:textId="2BAEB6FD"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0" w:history="1">
            <w:r w:rsidRPr="00EC0DB3">
              <w:rPr>
                <w:rStyle w:val="Hyperlink"/>
                <w:noProof/>
              </w:rPr>
              <w:t>2.1.1 Disclosure and barring service checks</w:t>
            </w:r>
            <w:r>
              <w:rPr>
                <w:noProof/>
                <w:webHidden/>
              </w:rPr>
              <w:tab/>
            </w:r>
            <w:r>
              <w:rPr>
                <w:noProof/>
                <w:webHidden/>
              </w:rPr>
              <w:fldChar w:fldCharType="begin"/>
            </w:r>
            <w:r>
              <w:rPr>
                <w:noProof/>
                <w:webHidden/>
              </w:rPr>
              <w:instrText xml:space="preserve"> PAGEREF _Toc197420390 \h </w:instrText>
            </w:r>
            <w:r>
              <w:rPr>
                <w:noProof/>
                <w:webHidden/>
              </w:rPr>
            </w:r>
            <w:r>
              <w:rPr>
                <w:noProof/>
                <w:webHidden/>
              </w:rPr>
              <w:fldChar w:fldCharType="separate"/>
            </w:r>
            <w:r>
              <w:rPr>
                <w:noProof/>
                <w:webHidden/>
              </w:rPr>
              <w:t>6</w:t>
            </w:r>
            <w:r>
              <w:rPr>
                <w:noProof/>
                <w:webHidden/>
              </w:rPr>
              <w:fldChar w:fldCharType="end"/>
            </w:r>
          </w:hyperlink>
        </w:p>
        <w:p w14:paraId="65F8BAB0" w14:textId="53F570B0"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1" w:history="1">
            <w:r w:rsidRPr="00EC0DB3">
              <w:rPr>
                <w:rStyle w:val="Hyperlink"/>
                <w:noProof/>
              </w:rPr>
              <w:t>2.1.2 Health and disability assessments</w:t>
            </w:r>
            <w:r>
              <w:rPr>
                <w:noProof/>
                <w:webHidden/>
              </w:rPr>
              <w:tab/>
            </w:r>
            <w:r>
              <w:rPr>
                <w:noProof/>
                <w:webHidden/>
              </w:rPr>
              <w:fldChar w:fldCharType="begin"/>
            </w:r>
            <w:r>
              <w:rPr>
                <w:noProof/>
                <w:webHidden/>
              </w:rPr>
              <w:instrText xml:space="preserve"> PAGEREF _Toc197420391 \h </w:instrText>
            </w:r>
            <w:r>
              <w:rPr>
                <w:noProof/>
                <w:webHidden/>
              </w:rPr>
            </w:r>
            <w:r>
              <w:rPr>
                <w:noProof/>
                <w:webHidden/>
              </w:rPr>
              <w:fldChar w:fldCharType="separate"/>
            </w:r>
            <w:r>
              <w:rPr>
                <w:noProof/>
                <w:webHidden/>
              </w:rPr>
              <w:t>6</w:t>
            </w:r>
            <w:r>
              <w:rPr>
                <w:noProof/>
                <w:webHidden/>
              </w:rPr>
              <w:fldChar w:fldCharType="end"/>
            </w:r>
          </w:hyperlink>
        </w:p>
        <w:p w14:paraId="121EEBA0" w14:textId="13ED5C64"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2" w:history="1">
            <w:r w:rsidRPr="00EC0DB3">
              <w:rPr>
                <w:rStyle w:val="Hyperlink"/>
                <w:noProof/>
              </w:rPr>
              <w:t>2.1.3 English language proficiency</w:t>
            </w:r>
            <w:r>
              <w:rPr>
                <w:noProof/>
                <w:webHidden/>
              </w:rPr>
              <w:tab/>
            </w:r>
            <w:r>
              <w:rPr>
                <w:noProof/>
                <w:webHidden/>
              </w:rPr>
              <w:fldChar w:fldCharType="begin"/>
            </w:r>
            <w:r>
              <w:rPr>
                <w:noProof/>
                <w:webHidden/>
              </w:rPr>
              <w:instrText xml:space="preserve"> PAGEREF _Toc197420392 \h </w:instrText>
            </w:r>
            <w:r>
              <w:rPr>
                <w:noProof/>
                <w:webHidden/>
              </w:rPr>
            </w:r>
            <w:r>
              <w:rPr>
                <w:noProof/>
                <w:webHidden/>
              </w:rPr>
              <w:fldChar w:fldCharType="separate"/>
            </w:r>
            <w:r>
              <w:rPr>
                <w:noProof/>
                <w:webHidden/>
              </w:rPr>
              <w:t>7</w:t>
            </w:r>
            <w:r>
              <w:rPr>
                <w:noProof/>
                <w:webHidden/>
              </w:rPr>
              <w:fldChar w:fldCharType="end"/>
            </w:r>
          </w:hyperlink>
        </w:p>
        <w:p w14:paraId="47420C00" w14:textId="57DDE2AD"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3" w:history="1">
            <w:r w:rsidRPr="00EC0DB3">
              <w:rPr>
                <w:rStyle w:val="Hyperlink"/>
                <w:noProof/>
              </w:rPr>
              <w:t>2.1.4 Admissions criteria for undergraduate, postgraduate and apprenticeships</w:t>
            </w:r>
            <w:r>
              <w:rPr>
                <w:noProof/>
                <w:webHidden/>
              </w:rPr>
              <w:tab/>
            </w:r>
            <w:r>
              <w:rPr>
                <w:noProof/>
                <w:webHidden/>
              </w:rPr>
              <w:fldChar w:fldCharType="begin"/>
            </w:r>
            <w:r>
              <w:rPr>
                <w:noProof/>
                <w:webHidden/>
              </w:rPr>
              <w:instrText xml:space="preserve"> PAGEREF _Toc197420393 \h </w:instrText>
            </w:r>
            <w:r>
              <w:rPr>
                <w:noProof/>
                <w:webHidden/>
              </w:rPr>
            </w:r>
            <w:r>
              <w:rPr>
                <w:noProof/>
                <w:webHidden/>
              </w:rPr>
              <w:fldChar w:fldCharType="separate"/>
            </w:r>
            <w:r>
              <w:rPr>
                <w:noProof/>
                <w:webHidden/>
              </w:rPr>
              <w:t>7</w:t>
            </w:r>
            <w:r>
              <w:rPr>
                <w:noProof/>
                <w:webHidden/>
              </w:rPr>
              <w:fldChar w:fldCharType="end"/>
            </w:r>
          </w:hyperlink>
        </w:p>
        <w:p w14:paraId="4BD342A7" w14:textId="44DBA969"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394" w:history="1">
            <w:r w:rsidRPr="00EC0DB3">
              <w:rPr>
                <w:rStyle w:val="Hyperlink"/>
                <w:noProof/>
              </w:rPr>
              <w:t>2.2 Equity, diversity and belonging (EDB)</w:t>
            </w:r>
            <w:r>
              <w:rPr>
                <w:noProof/>
                <w:webHidden/>
              </w:rPr>
              <w:tab/>
            </w:r>
            <w:r>
              <w:rPr>
                <w:noProof/>
                <w:webHidden/>
              </w:rPr>
              <w:fldChar w:fldCharType="begin"/>
            </w:r>
            <w:r>
              <w:rPr>
                <w:noProof/>
                <w:webHidden/>
              </w:rPr>
              <w:instrText xml:space="preserve"> PAGEREF _Toc197420394 \h </w:instrText>
            </w:r>
            <w:r>
              <w:rPr>
                <w:noProof/>
                <w:webHidden/>
              </w:rPr>
            </w:r>
            <w:r>
              <w:rPr>
                <w:noProof/>
                <w:webHidden/>
              </w:rPr>
              <w:fldChar w:fldCharType="separate"/>
            </w:r>
            <w:r>
              <w:rPr>
                <w:noProof/>
                <w:webHidden/>
              </w:rPr>
              <w:t>7</w:t>
            </w:r>
            <w:r>
              <w:rPr>
                <w:noProof/>
                <w:webHidden/>
              </w:rPr>
              <w:fldChar w:fldCharType="end"/>
            </w:r>
          </w:hyperlink>
        </w:p>
        <w:p w14:paraId="02B0D4AB" w14:textId="5E113ED7"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395" w:history="1">
            <w:r w:rsidRPr="00EC0DB3">
              <w:rPr>
                <w:rStyle w:val="Hyperlink"/>
                <w:noProof/>
              </w:rPr>
              <w:t>2.3 Length and structure of programmes leading to SLT registration</w:t>
            </w:r>
            <w:r>
              <w:rPr>
                <w:noProof/>
                <w:webHidden/>
              </w:rPr>
              <w:tab/>
            </w:r>
            <w:r>
              <w:rPr>
                <w:noProof/>
                <w:webHidden/>
              </w:rPr>
              <w:fldChar w:fldCharType="begin"/>
            </w:r>
            <w:r>
              <w:rPr>
                <w:noProof/>
                <w:webHidden/>
              </w:rPr>
              <w:instrText xml:space="preserve"> PAGEREF _Toc197420395 \h </w:instrText>
            </w:r>
            <w:r>
              <w:rPr>
                <w:noProof/>
                <w:webHidden/>
              </w:rPr>
            </w:r>
            <w:r>
              <w:rPr>
                <w:noProof/>
                <w:webHidden/>
              </w:rPr>
              <w:fldChar w:fldCharType="separate"/>
            </w:r>
            <w:r>
              <w:rPr>
                <w:noProof/>
                <w:webHidden/>
              </w:rPr>
              <w:t>8</w:t>
            </w:r>
            <w:r>
              <w:rPr>
                <w:noProof/>
                <w:webHidden/>
              </w:rPr>
              <w:fldChar w:fldCharType="end"/>
            </w:r>
          </w:hyperlink>
        </w:p>
        <w:p w14:paraId="54DB48FC" w14:textId="199D1D66"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6" w:history="1">
            <w:r w:rsidRPr="00EC0DB3">
              <w:rPr>
                <w:rStyle w:val="Hyperlink"/>
                <w:noProof/>
              </w:rPr>
              <w:t>2.3.1 Full-time university-based programmes: study duration</w:t>
            </w:r>
            <w:r>
              <w:rPr>
                <w:noProof/>
                <w:webHidden/>
              </w:rPr>
              <w:tab/>
            </w:r>
            <w:r>
              <w:rPr>
                <w:noProof/>
                <w:webHidden/>
              </w:rPr>
              <w:fldChar w:fldCharType="begin"/>
            </w:r>
            <w:r>
              <w:rPr>
                <w:noProof/>
                <w:webHidden/>
              </w:rPr>
              <w:instrText xml:space="preserve"> PAGEREF _Toc197420396 \h </w:instrText>
            </w:r>
            <w:r>
              <w:rPr>
                <w:noProof/>
                <w:webHidden/>
              </w:rPr>
            </w:r>
            <w:r>
              <w:rPr>
                <w:noProof/>
                <w:webHidden/>
              </w:rPr>
              <w:fldChar w:fldCharType="separate"/>
            </w:r>
            <w:r>
              <w:rPr>
                <w:noProof/>
                <w:webHidden/>
              </w:rPr>
              <w:t>8</w:t>
            </w:r>
            <w:r>
              <w:rPr>
                <w:noProof/>
                <w:webHidden/>
              </w:rPr>
              <w:fldChar w:fldCharType="end"/>
            </w:r>
          </w:hyperlink>
        </w:p>
        <w:p w14:paraId="7B8BD379" w14:textId="386A571D"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7" w:history="1">
            <w:r w:rsidRPr="00EC0DB3">
              <w:rPr>
                <w:rStyle w:val="Hyperlink"/>
                <w:noProof/>
              </w:rPr>
              <w:t>2.3.2 Part-time university-based programmes: study duration</w:t>
            </w:r>
            <w:r>
              <w:rPr>
                <w:noProof/>
                <w:webHidden/>
              </w:rPr>
              <w:tab/>
            </w:r>
            <w:r>
              <w:rPr>
                <w:noProof/>
                <w:webHidden/>
              </w:rPr>
              <w:fldChar w:fldCharType="begin"/>
            </w:r>
            <w:r>
              <w:rPr>
                <w:noProof/>
                <w:webHidden/>
              </w:rPr>
              <w:instrText xml:space="preserve"> PAGEREF _Toc197420397 \h </w:instrText>
            </w:r>
            <w:r>
              <w:rPr>
                <w:noProof/>
                <w:webHidden/>
              </w:rPr>
            </w:r>
            <w:r>
              <w:rPr>
                <w:noProof/>
                <w:webHidden/>
              </w:rPr>
              <w:fldChar w:fldCharType="separate"/>
            </w:r>
            <w:r>
              <w:rPr>
                <w:noProof/>
                <w:webHidden/>
              </w:rPr>
              <w:t>9</w:t>
            </w:r>
            <w:r>
              <w:rPr>
                <w:noProof/>
                <w:webHidden/>
              </w:rPr>
              <w:fldChar w:fldCharType="end"/>
            </w:r>
          </w:hyperlink>
        </w:p>
        <w:p w14:paraId="3E3CB754" w14:textId="6CA07C74"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398" w:history="1">
            <w:r w:rsidRPr="00EC0DB3">
              <w:rPr>
                <w:rStyle w:val="Hyperlink"/>
                <w:noProof/>
              </w:rPr>
              <w:t>2.3.3 Apprenticeship programmes</w:t>
            </w:r>
            <w:r>
              <w:rPr>
                <w:noProof/>
                <w:webHidden/>
              </w:rPr>
              <w:tab/>
            </w:r>
            <w:r>
              <w:rPr>
                <w:noProof/>
                <w:webHidden/>
              </w:rPr>
              <w:fldChar w:fldCharType="begin"/>
            </w:r>
            <w:r>
              <w:rPr>
                <w:noProof/>
                <w:webHidden/>
              </w:rPr>
              <w:instrText xml:space="preserve"> PAGEREF _Toc197420398 \h </w:instrText>
            </w:r>
            <w:r>
              <w:rPr>
                <w:noProof/>
                <w:webHidden/>
              </w:rPr>
            </w:r>
            <w:r>
              <w:rPr>
                <w:noProof/>
                <w:webHidden/>
              </w:rPr>
              <w:fldChar w:fldCharType="separate"/>
            </w:r>
            <w:r>
              <w:rPr>
                <w:noProof/>
                <w:webHidden/>
              </w:rPr>
              <w:t>9</w:t>
            </w:r>
            <w:r>
              <w:rPr>
                <w:noProof/>
                <w:webHidden/>
              </w:rPr>
              <w:fldChar w:fldCharType="end"/>
            </w:r>
          </w:hyperlink>
        </w:p>
        <w:p w14:paraId="3A51DA6C" w14:textId="35FE2EBF"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399" w:history="1">
            <w:r w:rsidRPr="00EC0DB3">
              <w:rPr>
                <w:rStyle w:val="Hyperlink"/>
                <w:noProof/>
              </w:rPr>
              <w:t>2.4 Staffing, resources and quality assurance</w:t>
            </w:r>
            <w:r>
              <w:rPr>
                <w:noProof/>
                <w:webHidden/>
              </w:rPr>
              <w:tab/>
            </w:r>
            <w:r>
              <w:rPr>
                <w:noProof/>
                <w:webHidden/>
              </w:rPr>
              <w:fldChar w:fldCharType="begin"/>
            </w:r>
            <w:r>
              <w:rPr>
                <w:noProof/>
                <w:webHidden/>
              </w:rPr>
              <w:instrText xml:space="preserve"> PAGEREF _Toc197420399 \h </w:instrText>
            </w:r>
            <w:r>
              <w:rPr>
                <w:noProof/>
                <w:webHidden/>
              </w:rPr>
            </w:r>
            <w:r>
              <w:rPr>
                <w:noProof/>
                <w:webHidden/>
              </w:rPr>
              <w:fldChar w:fldCharType="separate"/>
            </w:r>
            <w:r>
              <w:rPr>
                <w:noProof/>
                <w:webHidden/>
              </w:rPr>
              <w:t>10</w:t>
            </w:r>
            <w:r>
              <w:rPr>
                <w:noProof/>
                <w:webHidden/>
              </w:rPr>
              <w:fldChar w:fldCharType="end"/>
            </w:r>
          </w:hyperlink>
        </w:p>
        <w:p w14:paraId="713530F5" w14:textId="2EB991A3" w:rsidR="0095374A" w:rsidRDefault="0095374A">
          <w:pPr>
            <w:pStyle w:val="TOC3"/>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7420400" w:history="1">
            <w:r w:rsidRPr="00EC0DB3">
              <w:rPr>
                <w:rStyle w:val="Hyperlink"/>
                <w:noProof/>
              </w:rPr>
              <w:t>2.4.1 Professional development opportunities for HEI staff</w:t>
            </w:r>
            <w:r>
              <w:rPr>
                <w:noProof/>
                <w:webHidden/>
              </w:rPr>
              <w:tab/>
            </w:r>
            <w:r>
              <w:rPr>
                <w:noProof/>
                <w:webHidden/>
              </w:rPr>
              <w:fldChar w:fldCharType="begin"/>
            </w:r>
            <w:r>
              <w:rPr>
                <w:noProof/>
                <w:webHidden/>
              </w:rPr>
              <w:instrText xml:space="preserve"> PAGEREF _Toc197420400 \h </w:instrText>
            </w:r>
            <w:r>
              <w:rPr>
                <w:noProof/>
                <w:webHidden/>
              </w:rPr>
            </w:r>
            <w:r>
              <w:rPr>
                <w:noProof/>
                <w:webHidden/>
              </w:rPr>
              <w:fldChar w:fldCharType="separate"/>
            </w:r>
            <w:r>
              <w:rPr>
                <w:noProof/>
                <w:webHidden/>
              </w:rPr>
              <w:t>10</w:t>
            </w:r>
            <w:r>
              <w:rPr>
                <w:noProof/>
                <w:webHidden/>
              </w:rPr>
              <w:fldChar w:fldCharType="end"/>
            </w:r>
          </w:hyperlink>
        </w:p>
        <w:p w14:paraId="20A40B09" w14:textId="6C74700F"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401" w:history="1">
            <w:r w:rsidRPr="00EC0DB3">
              <w:rPr>
                <w:rStyle w:val="Hyperlink"/>
                <w:noProof/>
              </w:rPr>
              <w:t>2.5 Inclusion of service users in programme development and delivery</w:t>
            </w:r>
            <w:r>
              <w:rPr>
                <w:noProof/>
                <w:webHidden/>
              </w:rPr>
              <w:tab/>
            </w:r>
            <w:r>
              <w:rPr>
                <w:noProof/>
                <w:webHidden/>
              </w:rPr>
              <w:fldChar w:fldCharType="begin"/>
            </w:r>
            <w:r>
              <w:rPr>
                <w:noProof/>
                <w:webHidden/>
              </w:rPr>
              <w:instrText xml:space="preserve"> PAGEREF _Toc197420401 \h </w:instrText>
            </w:r>
            <w:r>
              <w:rPr>
                <w:noProof/>
                <w:webHidden/>
              </w:rPr>
            </w:r>
            <w:r>
              <w:rPr>
                <w:noProof/>
                <w:webHidden/>
              </w:rPr>
              <w:fldChar w:fldCharType="separate"/>
            </w:r>
            <w:r>
              <w:rPr>
                <w:noProof/>
                <w:webHidden/>
              </w:rPr>
              <w:t>11</w:t>
            </w:r>
            <w:r>
              <w:rPr>
                <w:noProof/>
                <w:webHidden/>
              </w:rPr>
              <w:fldChar w:fldCharType="end"/>
            </w:r>
          </w:hyperlink>
        </w:p>
        <w:p w14:paraId="50481EA0" w14:textId="2F0670A0"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402" w:history="1">
            <w:r w:rsidRPr="00EC0DB3">
              <w:rPr>
                <w:rStyle w:val="Hyperlink"/>
                <w:noProof/>
              </w:rPr>
              <w:t>2.6 Partnership in practice education provision</w:t>
            </w:r>
            <w:r>
              <w:rPr>
                <w:noProof/>
                <w:webHidden/>
              </w:rPr>
              <w:tab/>
            </w:r>
            <w:r>
              <w:rPr>
                <w:noProof/>
                <w:webHidden/>
              </w:rPr>
              <w:fldChar w:fldCharType="begin"/>
            </w:r>
            <w:r>
              <w:rPr>
                <w:noProof/>
                <w:webHidden/>
              </w:rPr>
              <w:instrText xml:space="preserve"> PAGEREF _Toc197420402 \h </w:instrText>
            </w:r>
            <w:r>
              <w:rPr>
                <w:noProof/>
                <w:webHidden/>
              </w:rPr>
            </w:r>
            <w:r>
              <w:rPr>
                <w:noProof/>
                <w:webHidden/>
              </w:rPr>
              <w:fldChar w:fldCharType="separate"/>
            </w:r>
            <w:r>
              <w:rPr>
                <w:noProof/>
                <w:webHidden/>
              </w:rPr>
              <w:t>11</w:t>
            </w:r>
            <w:r>
              <w:rPr>
                <w:noProof/>
                <w:webHidden/>
              </w:rPr>
              <w:fldChar w:fldCharType="end"/>
            </w:r>
          </w:hyperlink>
        </w:p>
        <w:p w14:paraId="79CBCF77" w14:textId="6C47E8F3" w:rsidR="0095374A" w:rsidRDefault="0095374A">
          <w:pPr>
            <w:pStyle w:val="TOC1"/>
            <w:tabs>
              <w:tab w:val="right" w:leader="dot" w:pos="906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97420403" w:history="1">
            <w:r w:rsidRPr="00EC0DB3">
              <w:rPr>
                <w:rStyle w:val="Hyperlink"/>
                <w:noProof/>
              </w:rPr>
              <w:t>Section 3: Guidance on curriculum content</w:t>
            </w:r>
            <w:r>
              <w:rPr>
                <w:noProof/>
                <w:webHidden/>
              </w:rPr>
              <w:tab/>
            </w:r>
            <w:r>
              <w:rPr>
                <w:noProof/>
                <w:webHidden/>
              </w:rPr>
              <w:fldChar w:fldCharType="begin"/>
            </w:r>
            <w:r>
              <w:rPr>
                <w:noProof/>
                <w:webHidden/>
              </w:rPr>
              <w:instrText xml:space="preserve"> PAGEREF _Toc197420403 \h </w:instrText>
            </w:r>
            <w:r>
              <w:rPr>
                <w:noProof/>
                <w:webHidden/>
              </w:rPr>
            </w:r>
            <w:r>
              <w:rPr>
                <w:noProof/>
                <w:webHidden/>
              </w:rPr>
              <w:fldChar w:fldCharType="separate"/>
            </w:r>
            <w:r>
              <w:rPr>
                <w:noProof/>
                <w:webHidden/>
              </w:rPr>
              <w:t>12</w:t>
            </w:r>
            <w:r>
              <w:rPr>
                <w:noProof/>
                <w:webHidden/>
              </w:rPr>
              <w:fldChar w:fldCharType="end"/>
            </w:r>
          </w:hyperlink>
        </w:p>
        <w:p w14:paraId="1AE3054A" w14:textId="30356DEC"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404" w:history="1">
            <w:r w:rsidRPr="00EC0DB3">
              <w:rPr>
                <w:rStyle w:val="Hyperlink"/>
                <w:noProof/>
              </w:rPr>
              <w:t>3.1 Core areas</w:t>
            </w:r>
            <w:r>
              <w:rPr>
                <w:noProof/>
                <w:webHidden/>
              </w:rPr>
              <w:tab/>
            </w:r>
            <w:r>
              <w:rPr>
                <w:noProof/>
                <w:webHidden/>
              </w:rPr>
              <w:fldChar w:fldCharType="begin"/>
            </w:r>
            <w:r>
              <w:rPr>
                <w:noProof/>
                <w:webHidden/>
              </w:rPr>
              <w:instrText xml:space="preserve"> PAGEREF _Toc197420404 \h </w:instrText>
            </w:r>
            <w:r>
              <w:rPr>
                <w:noProof/>
                <w:webHidden/>
              </w:rPr>
            </w:r>
            <w:r>
              <w:rPr>
                <w:noProof/>
                <w:webHidden/>
              </w:rPr>
              <w:fldChar w:fldCharType="separate"/>
            </w:r>
            <w:r>
              <w:rPr>
                <w:noProof/>
                <w:webHidden/>
              </w:rPr>
              <w:t>13</w:t>
            </w:r>
            <w:r>
              <w:rPr>
                <w:noProof/>
                <w:webHidden/>
              </w:rPr>
              <w:fldChar w:fldCharType="end"/>
            </w:r>
          </w:hyperlink>
        </w:p>
        <w:p w14:paraId="124EA181" w14:textId="5821F0F0"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405" w:history="1">
            <w:r w:rsidRPr="00EC0DB3">
              <w:rPr>
                <w:rStyle w:val="Hyperlink"/>
                <w:noProof/>
              </w:rPr>
              <w:t>3.2 Domains of clinical practice</w:t>
            </w:r>
            <w:r>
              <w:rPr>
                <w:noProof/>
                <w:webHidden/>
              </w:rPr>
              <w:tab/>
            </w:r>
            <w:r>
              <w:rPr>
                <w:noProof/>
                <w:webHidden/>
              </w:rPr>
              <w:fldChar w:fldCharType="begin"/>
            </w:r>
            <w:r>
              <w:rPr>
                <w:noProof/>
                <w:webHidden/>
              </w:rPr>
              <w:instrText xml:space="preserve"> PAGEREF _Toc197420405 \h </w:instrText>
            </w:r>
            <w:r>
              <w:rPr>
                <w:noProof/>
                <w:webHidden/>
              </w:rPr>
            </w:r>
            <w:r>
              <w:rPr>
                <w:noProof/>
                <w:webHidden/>
              </w:rPr>
              <w:fldChar w:fldCharType="separate"/>
            </w:r>
            <w:r>
              <w:rPr>
                <w:noProof/>
                <w:webHidden/>
              </w:rPr>
              <w:t>15</w:t>
            </w:r>
            <w:r>
              <w:rPr>
                <w:noProof/>
                <w:webHidden/>
              </w:rPr>
              <w:fldChar w:fldCharType="end"/>
            </w:r>
          </w:hyperlink>
        </w:p>
        <w:p w14:paraId="6D969F7D" w14:textId="4A69419E" w:rsidR="0095374A" w:rsidRDefault="0095374A">
          <w:pPr>
            <w:pStyle w:val="TOC2"/>
            <w:tabs>
              <w:tab w:val="right" w:leader="dot" w:pos="9060"/>
            </w:tabs>
            <w:rPr>
              <w:rFonts w:asciiTheme="minorHAnsi" w:eastAsiaTheme="minorEastAsia" w:hAnsiTheme="minorHAnsi" w:cstheme="minorBidi"/>
              <w:b w:val="0"/>
              <w:iCs w:val="0"/>
              <w:noProof/>
              <w:color w:val="auto"/>
              <w:kern w:val="2"/>
              <w:sz w:val="24"/>
              <w:szCs w:val="24"/>
              <w:lang w:eastAsia="en-GB"/>
              <w14:ligatures w14:val="standardContextual"/>
            </w:rPr>
          </w:pPr>
          <w:hyperlink w:anchor="_Toc197420406" w:history="1">
            <w:r w:rsidRPr="00EC0DB3">
              <w:rPr>
                <w:rStyle w:val="Hyperlink"/>
                <w:noProof/>
              </w:rPr>
              <w:t>3.3 Contributory disciplines to speech and language therapy</w:t>
            </w:r>
            <w:r>
              <w:rPr>
                <w:noProof/>
                <w:webHidden/>
              </w:rPr>
              <w:tab/>
            </w:r>
            <w:r>
              <w:rPr>
                <w:noProof/>
                <w:webHidden/>
              </w:rPr>
              <w:fldChar w:fldCharType="begin"/>
            </w:r>
            <w:r>
              <w:rPr>
                <w:noProof/>
                <w:webHidden/>
              </w:rPr>
              <w:instrText xml:space="preserve"> PAGEREF _Toc197420406 \h </w:instrText>
            </w:r>
            <w:r>
              <w:rPr>
                <w:noProof/>
                <w:webHidden/>
              </w:rPr>
            </w:r>
            <w:r>
              <w:rPr>
                <w:noProof/>
                <w:webHidden/>
              </w:rPr>
              <w:fldChar w:fldCharType="separate"/>
            </w:r>
            <w:r>
              <w:rPr>
                <w:noProof/>
                <w:webHidden/>
              </w:rPr>
              <w:t>20</w:t>
            </w:r>
            <w:r>
              <w:rPr>
                <w:noProof/>
                <w:webHidden/>
              </w:rPr>
              <w:fldChar w:fldCharType="end"/>
            </w:r>
          </w:hyperlink>
        </w:p>
        <w:p w14:paraId="46715F24" w14:textId="2F513CE8" w:rsidR="0095374A" w:rsidRDefault="0095374A">
          <w:pPr>
            <w:pStyle w:val="TOC1"/>
            <w:tabs>
              <w:tab w:val="right" w:leader="dot" w:pos="906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97420407" w:history="1">
            <w:r w:rsidRPr="00EC0DB3">
              <w:rPr>
                <w:rStyle w:val="Hyperlink"/>
                <w:noProof/>
              </w:rPr>
              <w:t>Suggested reading</w:t>
            </w:r>
            <w:r>
              <w:rPr>
                <w:noProof/>
                <w:webHidden/>
              </w:rPr>
              <w:tab/>
            </w:r>
            <w:r>
              <w:rPr>
                <w:noProof/>
                <w:webHidden/>
              </w:rPr>
              <w:fldChar w:fldCharType="begin"/>
            </w:r>
            <w:r>
              <w:rPr>
                <w:noProof/>
                <w:webHidden/>
              </w:rPr>
              <w:instrText xml:space="preserve"> PAGEREF _Toc197420407 \h </w:instrText>
            </w:r>
            <w:r>
              <w:rPr>
                <w:noProof/>
                <w:webHidden/>
              </w:rPr>
            </w:r>
            <w:r>
              <w:rPr>
                <w:noProof/>
                <w:webHidden/>
              </w:rPr>
              <w:fldChar w:fldCharType="separate"/>
            </w:r>
            <w:r>
              <w:rPr>
                <w:noProof/>
                <w:webHidden/>
              </w:rPr>
              <w:t>26</w:t>
            </w:r>
            <w:r>
              <w:rPr>
                <w:noProof/>
                <w:webHidden/>
              </w:rPr>
              <w:fldChar w:fldCharType="end"/>
            </w:r>
          </w:hyperlink>
        </w:p>
        <w:p w14:paraId="5F4189F7" w14:textId="065BD51A" w:rsidR="00432C5F" w:rsidRDefault="002904A6">
          <w:r>
            <w:rPr>
              <w:rFonts w:asciiTheme="minorHAnsi" w:hAnsiTheme="minorHAnsi" w:cstheme="minorHAnsi"/>
              <w:sz w:val="22"/>
            </w:rPr>
            <w:fldChar w:fldCharType="end"/>
          </w:r>
        </w:p>
      </w:sdtContent>
    </w:sdt>
    <w:bookmarkStart w:id="0" w:name="_Toc195196518" w:displacedByCustomXml="prev"/>
    <w:p w14:paraId="38E81374" w14:textId="6D340339" w:rsidR="00E84281" w:rsidRPr="005E35B6" w:rsidRDefault="005E35B6" w:rsidP="005E35B6">
      <w:pPr>
        <w:rPr>
          <w:rFonts w:ascii="Open Sans Bold" w:eastAsia="Open Sans" w:hAnsi="Open Sans Bold"/>
          <w:bCs/>
          <w:color w:val="102036"/>
          <w:sz w:val="56"/>
          <w:szCs w:val="56"/>
        </w:rPr>
      </w:pPr>
      <w:r>
        <w:br w:type="page"/>
      </w:r>
    </w:p>
    <w:p w14:paraId="6A4F3948" w14:textId="31991AE4" w:rsidR="00713CA2" w:rsidRPr="00EB5019" w:rsidRDefault="00713CA2" w:rsidP="00713CA2">
      <w:pPr>
        <w:pStyle w:val="Heading1"/>
      </w:pPr>
      <w:bookmarkStart w:id="1" w:name="_Toc197420385"/>
      <w:r w:rsidRPr="00EB5019">
        <w:lastRenderedPageBreak/>
        <w:t xml:space="preserve">Acronyms and </w:t>
      </w:r>
      <w:r w:rsidR="00AC1090">
        <w:t>g</w:t>
      </w:r>
      <w:r w:rsidRPr="00EB5019">
        <w:t xml:space="preserve">lossary </w:t>
      </w:r>
      <w:r w:rsidR="00AC1090">
        <w:t>t</w:t>
      </w:r>
      <w:r w:rsidRPr="00EB5019">
        <w:t>erms</w:t>
      </w:r>
      <w:bookmarkEnd w:id="1"/>
      <w:r w:rsidRPr="00EB5019">
        <w:t> </w:t>
      </w:r>
    </w:p>
    <w:tbl>
      <w:tblPr>
        <w:tblW w:w="9214" w:type="dxa"/>
        <w:tblInd w:w="-8" w:type="dxa"/>
        <w:tblBorders>
          <w:top w:val="outset" w:sz="6" w:space="0" w:color="auto"/>
          <w:left w:val="outset" w:sz="6" w:space="0" w:color="auto"/>
          <w:bottom w:val="outset" w:sz="6" w:space="0" w:color="auto"/>
          <w:right w:val="outset" w:sz="6" w:space="0" w:color="auto"/>
        </w:tblBorders>
        <w:tblCellMar>
          <w:top w:w="57" w:type="dxa"/>
          <w:left w:w="113" w:type="dxa"/>
          <w:right w:w="57" w:type="dxa"/>
        </w:tblCellMar>
        <w:tblLook w:val="04A0" w:firstRow="1" w:lastRow="0" w:firstColumn="1" w:lastColumn="0" w:noHBand="0" w:noVBand="1"/>
      </w:tblPr>
      <w:tblGrid>
        <w:gridCol w:w="3765"/>
        <w:gridCol w:w="5449"/>
      </w:tblGrid>
      <w:tr w:rsidR="00382C65" w:rsidRPr="00EB5019" w14:paraId="292B21DC"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3EAB35E" w14:textId="77777777" w:rsidR="005654D4" w:rsidRPr="00EB5019" w:rsidRDefault="005654D4">
            <w:r w:rsidRPr="00EB5019">
              <w:t>Accreditation</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6DEFF231" w14:textId="77777777" w:rsidR="005654D4" w:rsidRPr="00EB5019" w:rsidRDefault="005654D4">
            <w:r w:rsidRPr="00EB5019">
              <w:t>The formal recognition that a pre-registration S</w:t>
            </w:r>
            <w:r>
              <w:t>peech and Language Therapy</w:t>
            </w:r>
            <w:r w:rsidRPr="00EB5019">
              <w:t xml:space="preserve"> programme meets required standards, primarily governed by HCPC and supported by RCSLT</w:t>
            </w:r>
            <w:r w:rsidRPr="00EB5019">
              <w:rPr>
                <w:rFonts w:ascii="Arial" w:hAnsi="Arial" w:cs="Arial"/>
              </w:rPr>
              <w:t> </w:t>
            </w:r>
            <w:r w:rsidRPr="00EB5019">
              <w:t> </w:t>
            </w:r>
          </w:p>
        </w:tc>
      </w:tr>
      <w:tr w:rsidR="00382C65" w:rsidRPr="00EB5019" w14:paraId="5B86E6A2"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6BEC983" w14:textId="77777777" w:rsidR="005654D4" w:rsidRPr="00EB5019" w:rsidRDefault="005654D4">
            <w:r w:rsidRPr="00EB5019">
              <w:t>Curriculum Guidance</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045A991" w14:textId="77777777" w:rsidR="005654D4" w:rsidRPr="00EB5019" w:rsidRDefault="005654D4">
            <w:r w:rsidRPr="00EB5019">
              <w:rPr>
                <w:rFonts w:ascii="Arial" w:hAnsi="Arial" w:cs="Arial"/>
              </w:rPr>
              <w:t> </w:t>
            </w:r>
            <w:r w:rsidRPr="00EB5019">
              <w:t>The RCSLT document outlining requirements and recommendations for pre-registration S</w:t>
            </w:r>
            <w:r>
              <w:t>peech and language Therapy</w:t>
            </w:r>
            <w:r w:rsidRPr="00EB5019">
              <w:t xml:space="preserve"> programmes, ensuring alignment with HCPC standards and professional competencies.</w:t>
            </w:r>
            <w:r w:rsidRPr="00EB5019">
              <w:rPr>
                <w:rFonts w:ascii="Arial" w:hAnsi="Arial" w:cs="Arial"/>
              </w:rPr>
              <w:t> </w:t>
            </w:r>
            <w:r w:rsidRPr="00EB5019">
              <w:t> </w:t>
            </w:r>
          </w:p>
        </w:tc>
      </w:tr>
      <w:tr w:rsidR="00382C65" w:rsidRPr="00EB5019" w14:paraId="2B6C4815"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14AAF37" w14:textId="77777777" w:rsidR="005654D4" w:rsidRPr="00EB5019" w:rsidRDefault="005654D4">
            <w:r w:rsidRPr="00EB5019">
              <w:t>Equity, Diversity, and</w:t>
            </w:r>
            <w:r>
              <w:t xml:space="preserve"> Belonging </w:t>
            </w:r>
            <w:r w:rsidRPr="00EB5019">
              <w:t>(ED</w:t>
            </w:r>
            <w:r>
              <w:t>B</w:t>
            </w:r>
            <w:r w:rsidRPr="00EB5019">
              <w:t>)</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0930AD12" w14:textId="77777777" w:rsidR="005654D4" w:rsidRPr="00EB5019" w:rsidRDefault="005654D4">
            <w:r w:rsidRPr="00EB5019">
              <w:t>Principles that ensure fair access, representation, and opportunities for all individuals within speech and language therapy education and practice, addressing disparities and promoting inclusive service delivery</w:t>
            </w:r>
            <w:r w:rsidRPr="00EB5019">
              <w:rPr>
                <w:rFonts w:ascii="Arial" w:hAnsi="Arial" w:cs="Arial"/>
              </w:rPr>
              <w:t> </w:t>
            </w:r>
            <w:r w:rsidRPr="00EB5019">
              <w:t> </w:t>
            </w:r>
          </w:p>
        </w:tc>
      </w:tr>
      <w:tr w:rsidR="00382C65" w:rsidRPr="00EB5019" w14:paraId="6FE37F36"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tcPr>
          <w:p w14:paraId="74161E79" w14:textId="77777777" w:rsidR="005654D4" w:rsidRPr="00EB5019" w:rsidRDefault="005654D4">
            <w:r>
              <w:t>Eating, Drinking and Swallowing (EDS)</w:t>
            </w:r>
          </w:p>
        </w:tc>
        <w:tc>
          <w:tcPr>
            <w:tcW w:w="5449" w:type="dxa"/>
            <w:tcBorders>
              <w:top w:val="single" w:sz="6" w:space="0" w:color="auto"/>
              <w:left w:val="single" w:sz="6" w:space="0" w:color="auto"/>
              <w:bottom w:val="single" w:sz="6" w:space="0" w:color="auto"/>
              <w:right w:val="single" w:sz="6" w:space="0" w:color="auto"/>
            </w:tcBorders>
            <w:shd w:val="clear" w:color="auto" w:fill="auto"/>
          </w:tcPr>
          <w:p w14:paraId="0F9C07CA" w14:textId="77777777" w:rsidR="005654D4" w:rsidRPr="00EB5019" w:rsidRDefault="005654D4">
            <w:r>
              <w:t>Speech and language therapists assess and treat disorders related to eating, drinking, and swallowing</w:t>
            </w:r>
          </w:p>
        </w:tc>
      </w:tr>
      <w:tr w:rsidR="00382C65" w:rsidRPr="00EB5019" w14:paraId="767B4253"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594289E" w14:textId="5EE386DA" w:rsidR="005654D4" w:rsidRPr="00EB5019" w:rsidRDefault="005654D4">
            <w:r w:rsidRPr="00EB5019">
              <w:t>Health and Care Professions Council (HCPC)</w:t>
            </w:r>
            <w:r w:rsidRPr="00EB5019">
              <w:rPr>
                <w:rFonts w:ascii="Arial" w:hAnsi="Arial" w:cs="Arial"/>
              </w:rPr>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FE6DB64" w14:textId="77777777" w:rsidR="005654D4" w:rsidRPr="00EB5019" w:rsidRDefault="005654D4">
            <w:r w:rsidRPr="00EB5019">
              <w:t xml:space="preserve">The regulatory body for </w:t>
            </w:r>
            <w:r>
              <w:t>S</w:t>
            </w:r>
            <w:r w:rsidRPr="00EB5019">
              <w:t xml:space="preserve">peech and </w:t>
            </w:r>
            <w:r>
              <w:t>L</w:t>
            </w:r>
            <w:r w:rsidRPr="00EB5019">
              <w:t xml:space="preserve">anguage </w:t>
            </w:r>
            <w:r>
              <w:t>T</w:t>
            </w:r>
            <w:r w:rsidRPr="00EB5019">
              <w:t>herapists (SLTs) in the UK, setting Standards of Proficiency (SOPs) and Standards of Education and Training (SETs).</w:t>
            </w:r>
            <w:r w:rsidRPr="00EB5019">
              <w:rPr>
                <w:rFonts w:ascii="Arial" w:hAnsi="Arial" w:cs="Arial"/>
              </w:rPr>
              <w:t> </w:t>
            </w:r>
            <w:r w:rsidRPr="00EB5019">
              <w:t> </w:t>
            </w:r>
          </w:p>
        </w:tc>
      </w:tr>
      <w:tr w:rsidR="00382C65" w:rsidRPr="00EB5019" w14:paraId="7675FF19"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1AC506D" w14:textId="0304815D" w:rsidR="005654D4" w:rsidRPr="00EB5019" w:rsidRDefault="005654D4">
            <w:r w:rsidRPr="00EB5019">
              <w:t>Higher Education (HE)</w:t>
            </w:r>
            <w:r w:rsidRPr="00EB5019">
              <w:rPr>
                <w:rFonts w:ascii="Arial" w:hAnsi="Arial" w:cs="Arial"/>
              </w:rPr>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7A96638D" w14:textId="77777777" w:rsidR="005654D4" w:rsidRPr="00EB5019" w:rsidRDefault="005654D4">
            <w:r w:rsidRPr="00EB5019">
              <w:t>Refers to the sector of post-secondary education, including universities and other institutions offering degree-level programmes</w:t>
            </w:r>
            <w:r w:rsidRPr="00EB5019">
              <w:rPr>
                <w:rFonts w:ascii="Arial" w:hAnsi="Arial" w:cs="Arial"/>
              </w:rPr>
              <w:t> </w:t>
            </w:r>
            <w:r w:rsidRPr="00EB5019">
              <w:t> </w:t>
            </w:r>
          </w:p>
        </w:tc>
      </w:tr>
      <w:tr w:rsidR="00382C65" w:rsidRPr="00EB5019" w14:paraId="3AEF42F5"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7C84B0F" w14:textId="3F5D0AEB" w:rsidR="005654D4" w:rsidRPr="00EB5019" w:rsidRDefault="005654D4">
            <w:r w:rsidRPr="00EB5019">
              <w:t>Higher Education Institutions (HEIs)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49F4445B" w14:textId="77777777" w:rsidR="005654D4" w:rsidRPr="00EB5019" w:rsidRDefault="005654D4">
            <w:r w:rsidRPr="00EB5019">
              <w:t>Universities and institutions that offer accredited pre-registration speech and language therapy programmes.</w:t>
            </w:r>
            <w:r w:rsidRPr="00EB5019">
              <w:rPr>
                <w:rFonts w:ascii="Arial" w:hAnsi="Arial" w:cs="Arial"/>
              </w:rPr>
              <w:t> </w:t>
            </w:r>
            <w:r w:rsidRPr="00EB5019">
              <w:t> </w:t>
            </w:r>
          </w:p>
        </w:tc>
      </w:tr>
      <w:tr w:rsidR="00382C65" w:rsidRPr="00EB5019" w14:paraId="0B7660F6"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7E87A10" w14:textId="77777777" w:rsidR="005654D4" w:rsidRPr="00EB5019" w:rsidRDefault="005654D4">
            <w:r w:rsidRPr="00EB5019">
              <w:t>Institute for Apprenticeships and Technical Education (IfATE)</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7C9F6F1B" w14:textId="77777777" w:rsidR="005654D4" w:rsidRPr="00EB5019" w:rsidRDefault="005654D4">
            <w:r w:rsidRPr="00EB5019">
              <w:t>A government body responsible for developing, approving, reviewing, and revising apprenticeship standards and technical qualifications across various sectors, including speech and language therapy.</w:t>
            </w:r>
            <w:r w:rsidRPr="00EB5019">
              <w:rPr>
                <w:rFonts w:ascii="Arial" w:hAnsi="Arial" w:cs="Arial"/>
              </w:rPr>
              <w:t> </w:t>
            </w:r>
            <w:r w:rsidRPr="00EB5019">
              <w:t> </w:t>
            </w:r>
          </w:p>
        </w:tc>
      </w:tr>
      <w:tr w:rsidR="00382C65" w:rsidRPr="00EB5019" w14:paraId="4136FDD2"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7728479" w14:textId="77777777" w:rsidR="005654D4" w:rsidRPr="00EB5019" w:rsidRDefault="005654D4">
            <w:r w:rsidRPr="00EB5019">
              <w:t>International English Language Testing System (IELTS)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5F50FE41" w14:textId="77777777" w:rsidR="005654D4" w:rsidRPr="00EB5019" w:rsidRDefault="005654D4">
            <w:r w:rsidRPr="00EB5019">
              <w:t>A standardised test assessing English language proficiency</w:t>
            </w:r>
            <w:r>
              <w:t>.</w:t>
            </w:r>
          </w:p>
        </w:tc>
      </w:tr>
      <w:tr w:rsidR="00382C65" w:rsidRPr="00EB5019" w14:paraId="00A5868A"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5B444F1" w14:textId="77777777" w:rsidR="005654D4" w:rsidRPr="00EB5019" w:rsidRDefault="005654D4">
            <w:r w:rsidRPr="00EB5019">
              <w:t>Newly Qualified Practitioner (NQP) Framework</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FC5C1B9" w14:textId="77777777" w:rsidR="005654D4" w:rsidRPr="00EB5019" w:rsidRDefault="005654D4">
            <w:r>
              <w:t>The competency framework that supports the learning and development of SLTs in their early careers</w:t>
            </w:r>
          </w:p>
        </w:tc>
      </w:tr>
      <w:tr w:rsidR="00382C65" w:rsidRPr="00EB5019" w14:paraId="51B186F7"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92715AD" w14:textId="59B950A2" w:rsidR="005654D4" w:rsidRPr="00EB5019" w:rsidRDefault="005654D4">
            <w:r w:rsidRPr="00EB5019">
              <w:lastRenderedPageBreak/>
              <w:t>Newly Qualified Practitioners (NQP)</w:t>
            </w:r>
            <w:r w:rsidRPr="00EB5019">
              <w:rPr>
                <w:rFonts w:ascii="Arial" w:hAnsi="Arial" w:cs="Arial"/>
              </w:rPr>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B777ADF" w14:textId="77777777" w:rsidR="005654D4" w:rsidRPr="00EB5019" w:rsidRDefault="005654D4">
            <w:r>
              <w:t xml:space="preserve">SLTs who are in their early career stage </w:t>
            </w:r>
            <w:proofErr w:type="gramStart"/>
            <w:r>
              <w:t>and also</w:t>
            </w:r>
            <w:proofErr w:type="gramEnd"/>
            <w:r>
              <w:t xml:space="preserve"> following the NQP Framework set by RCSLT.</w:t>
            </w:r>
            <w:r>
              <w:rPr>
                <w:rFonts w:ascii="Arial" w:hAnsi="Arial" w:cs="Arial"/>
              </w:rPr>
              <w:t> </w:t>
            </w:r>
            <w:r>
              <w:t> </w:t>
            </w:r>
          </w:p>
        </w:tc>
      </w:tr>
      <w:tr w:rsidR="00382C65" w:rsidRPr="00EB5019" w14:paraId="7EFB12DE"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2939649" w14:textId="77777777" w:rsidR="005654D4" w:rsidRPr="00EB5019" w:rsidRDefault="005654D4">
            <w:r w:rsidRPr="00EB5019">
              <w:t xml:space="preserve">Pre-registration Speech and Language Therapy </w:t>
            </w:r>
            <w:r>
              <w:t>Learners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2F93F38" w14:textId="24F2BBD3" w:rsidR="005654D4" w:rsidRPr="00EB5019" w:rsidRDefault="005654D4">
            <w:r>
              <w:t>Learners undertaking a degree programme that leads to eligibility to apply for professional registration with HCPC.</w:t>
            </w:r>
          </w:p>
        </w:tc>
      </w:tr>
      <w:tr w:rsidR="00382C65" w:rsidRPr="00EB5019" w14:paraId="1AD1A2AA"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10FD274" w14:textId="77777777" w:rsidR="005654D4" w:rsidRPr="00EB5019" w:rsidRDefault="005654D4">
            <w:r w:rsidRPr="00EB5019">
              <w:t>Programme Design</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57094CBC" w14:textId="77777777" w:rsidR="005654D4" w:rsidRPr="00EB5019" w:rsidRDefault="005654D4">
            <w:r>
              <w:t>The structure and content of pre-registration speech and language therapy programmes, incorporating curriculum guidance, regulatory requirements, and emerging best practices.</w:t>
            </w:r>
            <w:r>
              <w:rPr>
                <w:rFonts w:ascii="Arial" w:hAnsi="Arial" w:cs="Arial"/>
              </w:rPr>
              <w:t> </w:t>
            </w:r>
            <w:r>
              <w:t> </w:t>
            </w:r>
          </w:p>
        </w:tc>
      </w:tr>
      <w:tr w:rsidR="00382C65" w:rsidRPr="00EB5019" w14:paraId="68F5390C"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75A14F1" w14:textId="77777777" w:rsidR="005654D4" w:rsidRPr="00EB5019" w:rsidRDefault="005654D4">
            <w:r w:rsidRPr="00EB5019">
              <w:t>Quality Assurance Agency for Higher Education (QAA)</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55E262CD" w14:textId="77777777" w:rsidR="005654D4" w:rsidRPr="00EB5019" w:rsidRDefault="005654D4">
            <w:r w:rsidRPr="00EB5019">
              <w:t>An independent body responsible for safeguarding and enhancing the quality of UK higher education, including setting and maintaining academic standards through the UK Quality Code for Higher Education.</w:t>
            </w:r>
            <w:r w:rsidRPr="00EB5019">
              <w:rPr>
                <w:rFonts w:ascii="Arial" w:hAnsi="Arial" w:cs="Arial"/>
              </w:rPr>
              <w:t> </w:t>
            </w:r>
            <w:r w:rsidRPr="00EB5019">
              <w:t> </w:t>
            </w:r>
          </w:p>
        </w:tc>
      </w:tr>
      <w:tr w:rsidR="00382C65" w:rsidRPr="00EB5019" w14:paraId="6432DBA2"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29A74C0" w14:textId="77777777" w:rsidR="005654D4" w:rsidRPr="00EB5019" w:rsidRDefault="005654D4">
            <w:r w:rsidRPr="00EB5019">
              <w:t>RCSLT Professional Development Framework</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A7DB91A" w14:textId="77777777" w:rsidR="005654D4" w:rsidRPr="00EB5019" w:rsidRDefault="005654D4">
            <w:r>
              <w:t xml:space="preserve">A structured approach that supports SLTs at all levels of practice in the identification of existing knowledge and skills as well as areas for future learning and development. </w:t>
            </w:r>
            <w:r w:rsidRPr="00EB5019">
              <w:rPr>
                <w:rFonts w:ascii="Arial" w:hAnsi="Arial" w:cs="Arial"/>
              </w:rPr>
              <w:t> </w:t>
            </w:r>
            <w:r w:rsidRPr="00EB5019">
              <w:t> </w:t>
            </w:r>
          </w:p>
        </w:tc>
      </w:tr>
      <w:tr w:rsidR="00382C65" w:rsidRPr="00EB5019" w14:paraId="211CF651"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E20B0BE" w14:textId="355735DD" w:rsidR="005654D4" w:rsidRPr="00EB5019" w:rsidRDefault="005654D4">
            <w:r w:rsidRPr="00EB5019">
              <w:t>Royal College of Speech and Language Therapists (RCSLT)</w:t>
            </w:r>
            <w:r w:rsidRPr="00EB5019">
              <w:rPr>
                <w:rFonts w:ascii="Arial" w:hAnsi="Arial" w:cs="Arial"/>
              </w:rPr>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729292A" w14:textId="77777777" w:rsidR="005654D4" w:rsidRPr="00EB5019" w:rsidRDefault="005654D4">
            <w:r w:rsidRPr="00EB5019">
              <w:t xml:space="preserve">The professional body for SLTs in the UK, </w:t>
            </w:r>
            <w:r w:rsidRPr="006F1FD5">
              <w:t>who support SLTs by providing leadership and guidance, facilitating research and promoting better education and training.</w:t>
            </w:r>
          </w:p>
        </w:tc>
      </w:tr>
      <w:tr w:rsidR="00382C65" w:rsidRPr="00EB5019" w14:paraId="438A40A2"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F2254E5" w14:textId="77777777" w:rsidR="005654D4" w:rsidRPr="00EB5019" w:rsidRDefault="005654D4">
            <w:r w:rsidRPr="00EB5019">
              <w:t>Speech and Language Therapists (SLTs)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131FBC5F" w14:textId="77777777" w:rsidR="005654D4" w:rsidRPr="00EB5019" w:rsidRDefault="005654D4">
            <w:r>
              <w:t>Allied H</w:t>
            </w:r>
            <w:r w:rsidRPr="00EB5019">
              <w:t xml:space="preserve">ealth </w:t>
            </w:r>
            <w:r>
              <w:t>P</w:t>
            </w:r>
            <w:r w:rsidRPr="00EB5019">
              <w:t xml:space="preserve">rofessionals </w:t>
            </w:r>
            <w:r>
              <w:t xml:space="preserve">who </w:t>
            </w:r>
            <w:r w:rsidRPr="00D03AA9">
              <w:t>provide treatment, support and care for people of all ages who have difficulties with speech, language, communication, eating, drinking and swallowing.</w:t>
            </w:r>
            <w:r w:rsidRPr="00EB5019">
              <w:t> </w:t>
            </w:r>
          </w:p>
        </w:tc>
      </w:tr>
      <w:tr w:rsidR="00382C65" w:rsidRPr="00EB5019" w14:paraId="40C07C1D"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9DE6291" w14:textId="77777777" w:rsidR="005654D4" w:rsidRPr="00EB5019" w:rsidRDefault="005654D4">
            <w:r w:rsidRPr="00EB5019">
              <w:t>Standards of Education and Training (SETs)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537814BD" w14:textId="77777777" w:rsidR="005654D4" w:rsidRPr="00EB5019" w:rsidRDefault="005654D4">
            <w:r>
              <w:t>Standards set by the HCPC</w:t>
            </w:r>
            <w:r w:rsidRPr="00EB5019">
              <w:t xml:space="preserve"> that all pre-registration programmes must meet to gain </w:t>
            </w:r>
            <w:r>
              <w:t>regulatory approval and therefore ensure that learners qualified to enter the profession are able to practise safely and effectively.</w:t>
            </w:r>
          </w:p>
        </w:tc>
      </w:tr>
      <w:tr w:rsidR="00382C65" w:rsidRPr="00EB5019" w14:paraId="2A87FD88" w14:textId="77777777" w:rsidTr="00382C65">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33663C21" w14:textId="77777777" w:rsidR="005654D4" w:rsidRPr="00EB5019" w:rsidRDefault="005654D4">
            <w:r w:rsidRPr="00EB5019">
              <w:t>Standards of Proficiency (SOPs)</w:t>
            </w:r>
            <w:r w:rsidRPr="00EB5019">
              <w:rPr>
                <w:rFonts w:ascii="Arial" w:hAnsi="Arial" w:cs="Arial"/>
              </w:rPr>
              <w:t> </w:t>
            </w:r>
            <w:r w:rsidRPr="00EB5019">
              <w:t> </w:t>
            </w:r>
          </w:p>
        </w:tc>
        <w:tc>
          <w:tcPr>
            <w:tcW w:w="5449" w:type="dxa"/>
            <w:tcBorders>
              <w:top w:val="single" w:sz="6" w:space="0" w:color="auto"/>
              <w:left w:val="single" w:sz="6" w:space="0" w:color="auto"/>
              <w:bottom w:val="single" w:sz="6" w:space="0" w:color="auto"/>
              <w:right w:val="single" w:sz="6" w:space="0" w:color="auto"/>
            </w:tcBorders>
            <w:shd w:val="clear" w:color="auto" w:fill="auto"/>
            <w:hideMark/>
          </w:tcPr>
          <w:p w14:paraId="741D7E6C" w14:textId="77777777" w:rsidR="005654D4" w:rsidRPr="00EB5019" w:rsidRDefault="005654D4">
            <w:r>
              <w:t>Standards set by the HCPC that ascertain the knowledge, skills and understanding that are needed for safe and effective practice within a profession.</w:t>
            </w:r>
          </w:p>
        </w:tc>
      </w:tr>
    </w:tbl>
    <w:p w14:paraId="5D7934EC" w14:textId="3C2B4781" w:rsidR="00762A78" w:rsidRDefault="00762A78">
      <w:pPr>
        <w:rPr>
          <w:rFonts w:ascii="Open Sans Bold" w:eastAsia="Open Sans" w:hAnsi="Open Sans Bold"/>
          <w:bCs/>
          <w:color w:val="102036"/>
          <w:sz w:val="56"/>
          <w:szCs w:val="56"/>
        </w:rPr>
      </w:pPr>
      <w:r>
        <w:br w:type="page"/>
      </w:r>
    </w:p>
    <w:p w14:paraId="08DE71C1" w14:textId="4901286F" w:rsidR="00762A78" w:rsidRPr="000C33BA" w:rsidRDefault="00762A78" w:rsidP="00762A78">
      <w:pPr>
        <w:pStyle w:val="Heading1"/>
      </w:pPr>
      <w:bookmarkStart w:id="2" w:name="_Toc197420386"/>
      <w:r w:rsidRPr="000C33BA">
        <w:lastRenderedPageBreak/>
        <w:t xml:space="preserve">Section 1: Overview of the 2025 </w:t>
      </w:r>
      <w:r w:rsidR="007D103B">
        <w:t>u</w:t>
      </w:r>
      <w:r w:rsidRPr="000C33BA">
        <w:t>pdate</w:t>
      </w:r>
      <w:bookmarkEnd w:id="0"/>
      <w:bookmarkEnd w:id="2"/>
      <w:r w:rsidRPr="000C33BA">
        <w:t> </w:t>
      </w:r>
    </w:p>
    <w:p w14:paraId="58BEA1F3" w14:textId="77777777" w:rsidR="00762A78" w:rsidRPr="00EB5019" w:rsidRDefault="00762A78" w:rsidP="00762A78">
      <w:r w:rsidRPr="00EB5019">
        <w:t> </w:t>
      </w:r>
    </w:p>
    <w:p w14:paraId="2457C0E5" w14:textId="77777777" w:rsidR="00762A78" w:rsidRPr="00EB5019" w:rsidRDefault="00762A78" w:rsidP="00762A78">
      <w:r w:rsidRPr="00EB5019">
        <w:rPr>
          <w:noProof/>
        </w:rPr>
        <w:drawing>
          <wp:inline distT="0" distB="0" distL="0" distR="0" wp14:anchorId="2F5269FD" wp14:editId="32636421">
            <wp:extent cx="5715000" cy="762000"/>
            <wp:effectExtent l="0" t="0" r="0" b="0"/>
            <wp:docPr id="977010239"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 Box"/>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15000" cy="762000"/>
                    </a:xfrm>
                    <a:prstGeom prst="rect">
                      <a:avLst/>
                    </a:prstGeom>
                  </pic:spPr>
                </pic:pic>
              </a:graphicData>
            </a:graphic>
          </wp:inline>
        </w:drawing>
      </w:r>
      <w:r w:rsidRPr="00EB5019">
        <w:t>  </w:t>
      </w:r>
    </w:p>
    <w:p w14:paraId="558FCDF5" w14:textId="00275920" w:rsidR="00762A78" w:rsidRPr="00EB5019" w:rsidRDefault="00762A78" w:rsidP="00762A78">
      <w:pPr>
        <w:pStyle w:val="Heading2"/>
      </w:pPr>
      <w:bookmarkStart w:id="3" w:name="_Toc195196519"/>
      <w:bookmarkStart w:id="4" w:name="_Toc197420387"/>
      <w:r w:rsidRPr="00EB5019">
        <w:t xml:space="preserve">Document </w:t>
      </w:r>
      <w:r w:rsidR="007D103B">
        <w:t>r</w:t>
      </w:r>
      <w:r w:rsidRPr="00EB5019">
        <w:t xml:space="preserve">evision </w:t>
      </w:r>
      <w:r w:rsidR="007D103B">
        <w:t>b</w:t>
      </w:r>
      <w:r w:rsidRPr="00EB5019">
        <w:t xml:space="preserve">ackground and </w:t>
      </w:r>
      <w:r w:rsidR="007D103B">
        <w:t>r</w:t>
      </w:r>
      <w:r w:rsidRPr="00EB5019">
        <w:t>ationale</w:t>
      </w:r>
      <w:bookmarkEnd w:id="3"/>
      <w:bookmarkEnd w:id="4"/>
      <w:r w:rsidRPr="00EB5019">
        <w:t> </w:t>
      </w:r>
    </w:p>
    <w:p w14:paraId="08DD15C3" w14:textId="77777777" w:rsidR="00762A78" w:rsidRPr="00F534C9" w:rsidRDefault="00762A78" w:rsidP="00762A78">
      <w:r w:rsidRPr="00F534C9">
        <w:t>This document was originally published in 2018, updated in March 2021, and further revised in 2025 by the current working group. The latest revision focuses on making the document more streamlined and adaptable for Higher Education Institutions (HEIs) while ensuring it reflects current practices in a continuously evolving workforce. The working group focused on aligning this document with important frameworks, such as the RCSLT Newly Qualified Practitioners (NQP) framework and the RCSLT Professional Development Framework (PDF). As a result, the curriculum guidance has been updated to support the integration of innovative teaching methods in Higher Education (HE) and to include the key concepts that were previously covered in a separate 'core capabilities' section. Feedback from the review process highlighted that the existing format was difficult to navigate and seemed to restrict Higher Education Institutions (HEIs) from delivering the curriculum in innovative ways or supporting wider participation to build a more inclusive and diverse workforce. Additionally, previous curriculum guidance categorised clinical areas based on a core set defined by HCPC and RCSLT. However, this approach was deemed not to reflect the evolving nature of the profession and its alignment with emerging populations and societal needs. </w:t>
      </w:r>
    </w:p>
    <w:p w14:paraId="24988094" w14:textId="77777777" w:rsidR="00762A78" w:rsidRPr="008A0702" w:rsidRDefault="00762A78" w:rsidP="00762A78">
      <w:r>
        <w:t>T</w:t>
      </w:r>
      <w:r w:rsidRPr="008A0702">
        <w:t xml:space="preserve">he working group focused on ensuring that pre-registration speech and language therapy learners </w:t>
      </w:r>
      <w:r>
        <w:t xml:space="preserve">are supported to </w:t>
      </w:r>
      <w:r w:rsidRPr="008A0702">
        <w:t xml:space="preserve">develop the knowledge and skills needed to </w:t>
      </w:r>
      <w:r>
        <w:t>work within and advance</w:t>
      </w:r>
      <w:r w:rsidRPr="008A0702">
        <w:t xml:space="preserve"> the profession. The revised Curriculum Guidance integrates the updated Newly Qualified Practitioners (NQP) framework and the Professional Development Framework while emphasi</w:t>
      </w:r>
      <w:r>
        <w:t>s</w:t>
      </w:r>
      <w:r w:rsidRPr="008A0702">
        <w:t>ing the importance of relevant</w:t>
      </w:r>
      <w:r>
        <w:t xml:space="preserve"> </w:t>
      </w:r>
      <w:r w:rsidRPr="008A0702">
        <w:t xml:space="preserve">knowledge from related disciplines and key areas within </w:t>
      </w:r>
      <w:r>
        <w:t>s</w:t>
      </w:r>
      <w:r w:rsidRPr="008A0702">
        <w:t xml:space="preserve">peech and </w:t>
      </w:r>
      <w:r>
        <w:t>l</w:t>
      </w:r>
      <w:r w:rsidRPr="008A0702">
        <w:t xml:space="preserve">anguage </w:t>
      </w:r>
      <w:r>
        <w:t>t</w:t>
      </w:r>
      <w:r w:rsidRPr="008A0702">
        <w:t>herapy.</w:t>
      </w:r>
    </w:p>
    <w:p w14:paraId="09898416" w14:textId="77777777" w:rsidR="00762A78" w:rsidRDefault="00762A78" w:rsidP="00762A78">
      <w:r>
        <w:t>It is anticipated that t</w:t>
      </w:r>
      <w:r w:rsidRPr="00EB5019">
        <w:t xml:space="preserve">he revised guidance encourages </w:t>
      </w:r>
      <w:r>
        <w:t>HEIs</w:t>
      </w:r>
      <w:r w:rsidRPr="00EB5019">
        <w:t xml:space="preserve"> to adopt a flexible and adaptive approach to programme design, ensuring that </w:t>
      </w:r>
      <w:r>
        <w:t>learners</w:t>
      </w:r>
      <w:r w:rsidRPr="00EB5019">
        <w:t xml:space="preserve"> develop the </w:t>
      </w:r>
      <w:r>
        <w:t>knowledge and skills</w:t>
      </w:r>
      <w:r w:rsidRPr="00EB5019">
        <w:t xml:space="preserve"> necessary for </w:t>
      </w:r>
      <w:r w:rsidRPr="008A0702">
        <w:t>continuing professional development and lifelong learning</w:t>
      </w:r>
      <w:r>
        <w:t>.</w:t>
      </w:r>
    </w:p>
    <w:p w14:paraId="306057FD" w14:textId="2AB98AF9" w:rsidR="00762A78" w:rsidRDefault="00762A78" w:rsidP="00762A78"/>
    <w:p w14:paraId="1400465D" w14:textId="0FE4BF24" w:rsidR="00762A78" w:rsidRPr="000C33BA" w:rsidRDefault="00762A78" w:rsidP="00762A78">
      <w:pPr>
        <w:pStyle w:val="Heading1"/>
      </w:pPr>
      <w:bookmarkStart w:id="5" w:name="_Toc195196533"/>
      <w:bookmarkStart w:id="6" w:name="_Toc197420388"/>
      <w:r w:rsidRPr="000C33BA">
        <w:lastRenderedPageBreak/>
        <w:t xml:space="preserve">Section </w:t>
      </w:r>
      <w:r>
        <w:t>2</w:t>
      </w:r>
      <w:r w:rsidRPr="000C33BA">
        <w:t xml:space="preserve">: Guidance for </w:t>
      </w:r>
      <w:r w:rsidR="007F3EEB">
        <w:t>d</w:t>
      </w:r>
      <w:r w:rsidRPr="000C33BA">
        <w:t xml:space="preserve">evelopment and </w:t>
      </w:r>
      <w:r w:rsidR="007F3EEB">
        <w:t>d</w:t>
      </w:r>
      <w:r w:rsidRPr="000C33BA">
        <w:t xml:space="preserve">elivery of </w:t>
      </w:r>
      <w:r w:rsidR="007F3EEB">
        <w:t>p</w:t>
      </w:r>
      <w:r w:rsidRPr="000C33BA">
        <w:t>re-</w:t>
      </w:r>
      <w:r w:rsidR="007F3EEB">
        <w:t>r</w:t>
      </w:r>
      <w:r w:rsidRPr="000C33BA">
        <w:t xml:space="preserve">egistration </w:t>
      </w:r>
      <w:r w:rsidR="007F3EEB">
        <w:t>p</w:t>
      </w:r>
      <w:r w:rsidRPr="000C33BA">
        <w:t>rogrammes</w:t>
      </w:r>
      <w:bookmarkEnd w:id="5"/>
      <w:bookmarkEnd w:id="6"/>
      <w:r w:rsidRPr="000C33BA">
        <w:t xml:space="preserve"> </w:t>
      </w:r>
    </w:p>
    <w:p w14:paraId="6998136E" w14:textId="77777777" w:rsidR="00762A78" w:rsidRPr="000C33BA" w:rsidRDefault="00762A78" w:rsidP="00762A78">
      <w:r w:rsidRPr="000C33BA">
        <w:t> </w:t>
      </w:r>
      <w:r w:rsidRPr="000C33BA">
        <w:rPr>
          <w:b/>
          <w:bCs/>
          <w:noProof/>
        </w:rPr>
        <w:drawing>
          <wp:inline distT="0" distB="0" distL="0" distR="0" wp14:anchorId="1EF10A20" wp14:editId="201E3AF4">
            <wp:extent cx="5731510" cy="974090"/>
            <wp:effectExtent l="0" t="0" r="2540" b="0"/>
            <wp:docPr id="1931854946" name="Picture 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74090"/>
                    </a:xfrm>
                    <a:prstGeom prst="rect">
                      <a:avLst/>
                    </a:prstGeom>
                    <a:noFill/>
                    <a:ln>
                      <a:noFill/>
                    </a:ln>
                  </pic:spPr>
                </pic:pic>
              </a:graphicData>
            </a:graphic>
          </wp:inline>
        </w:drawing>
      </w:r>
    </w:p>
    <w:p w14:paraId="0A2E6544" w14:textId="0054408F" w:rsidR="00762A78" w:rsidRPr="00627AE9" w:rsidRDefault="00762A78" w:rsidP="00762A78">
      <w:pPr>
        <w:pStyle w:val="Heading2"/>
      </w:pPr>
      <w:bookmarkStart w:id="7" w:name="_Toc195196534"/>
      <w:bookmarkStart w:id="8" w:name="_Toc197420389"/>
      <w:r>
        <w:t xml:space="preserve">2.1 </w:t>
      </w:r>
      <w:r w:rsidRPr="00627AE9">
        <w:t xml:space="preserve">Recruitment and </w:t>
      </w:r>
      <w:r w:rsidR="007F3EEB">
        <w:t>a</w:t>
      </w:r>
      <w:r w:rsidRPr="00627AE9">
        <w:t>dmissions</w:t>
      </w:r>
      <w:bookmarkEnd w:id="7"/>
      <w:bookmarkEnd w:id="8"/>
      <w:r w:rsidRPr="00627AE9">
        <w:t>  </w:t>
      </w:r>
    </w:p>
    <w:p w14:paraId="30EF904F" w14:textId="77777777" w:rsidR="00762A78" w:rsidRPr="00627AE9" w:rsidRDefault="00762A78" w:rsidP="00762A78">
      <w:r w:rsidRPr="00627AE9">
        <w:t>The RCSLT requires that admissions procedures are sufficiently robust to recruit learners who have the potential to meet the capabilities required to practise as an SLT (see Section 4.2). </w:t>
      </w:r>
    </w:p>
    <w:p w14:paraId="717FFFC9" w14:textId="77777777" w:rsidR="00762A78" w:rsidRPr="00627AE9" w:rsidRDefault="00762A78" w:rsidP="00762A78">
      <w:r w:rsidRPr="00627AE9">
        <w:t xml:space="preserve">Programme providers are expected to establish a clear and well-defined rationale for their recruitment and admissions procedures, ensuring transparency, fairness, and accessibility in all promotional materials. They should actively encourage applications from individuals of diverse backgrounds </w:t>
      </w:r>
      <w:r>
        <w:t>to ensure widening participation and</w:t>
      </w:r>
      <w:r w:rsidRPr="00627AE9">
        <w:t xml:space="preserve"> a profession that reflects the communities it supports</w:t>
      </w:r>
      <w:r>
        <w:t>.</w:t>
      </w:r>
    </w:p>
    <w:p w14:paraId="5684C119" w14:textId="6AEDA5F2" w:rsidR="00762A78" w:rsidRDefault="00762A78" w:rsidP="00762A78">
      <w:r w:rsidRPr="005E2147">
        <w:t>Admission requirements are determined by individual HEIs. However, the RCSLT expects that applicants will possess academic qualifications that demonstrate the necessary level of ability to successfully meet the</w:t>
      </w:r>
      <w:r w:rsidRPr="002A5929">
        <w:t xml:space="preserve"> learning outcomes</w:t>
      </w:r>
      <w:r w:rsidRPr="005E2147">
        <w:t xml:space="preserve"> of the programme (QAA</w:t>
      </w:r>
      <w:r w:rsidRPr="001212E7">
        <w:t>)</w:t>
      </w:r>
      <w:r w:rsidR="001212E7">
        <w:t>.</w:t>
      </w:r>
    </w:p>
    <w:p w14:paraId="687E0BD6" w14:textId="77777777" w:rsidR="005E35B6" w:rsidRPr="005E2147" w:rsidRDefault="005E35B6" w:rsidP="00762A78">
      <w:pPr>
        <w:rPr>
          <w:b/>
          <w:bCs/>
        </w:rPr>
      </w:pPr>
    </w:p>
    <w:p w14:paraId="3DF0B852" w14:textId="6DF9C2E9" w:rsidR="00762A78" w:rsidRDefault="00762A78" w:rsidP="00717ACD">
      <w:pPr>
        <w:pStyle w:val="Heading3"/>
      </w:pPr>
      <w:bookmarkStart w:id="9" w:name="_Toc195196535"/>
      <w:bookmarkStart w:id="10" w:name="_Toc197420390"/>
      <w:r>
        <w:t xml:space="preserve">2.1.1 </w:t>
      </w:r>
      <w:r w:rsidRPr="00A32A88">
        <w:t xml:space="preserve">Disclosure and </w:t>
      </w:r>
      <w:r w:rsidR="007F3EEB">
        <w:t>b</w:t>
      </w:r>
      <w:r w:rsidRPr="00A32A88">
        <w:t xml:space="preserve">arring </w:t>
      </w:r>
      <w:r w:rsidR="007F3EEB">
        <w:t>s</w:t>
      </w:r>
      <w:r w:rsidRPr="00A32A88">
        <w:t>ervice checks</w:t>
      </w:r>
      <w:bookmarkEnd w:id="9"/>
      <w:bookmarkEnd w:id="10"/>
    </w:p>
    <w:p w14:paraId="56DBEC44" w14:textId="77777777" w:rsidR="00762A78" w:rsidRDefault="00762A78" w:rsidP="00DA7A14">
      <w:bookmarkStart w:id="11" w:name="_Toc195196536"/>
      <w:r w:rsidRPr="00DA7A14">
        <w:t>In line with HCPC Standards of Education and Training (SETs), and due to learners' contact with children and vulnerable adults, all applicants must complete an enhanced criminal records check appropriate to their nation.</w:t>
      </w:r>
      <w:bookmarkEnd w:id="11"/>
    </w:p>
    <w:p w14:paraId="782C1118" w14:textId="77777777" w:rsidR="005E35B6" w:rsidRPr="00DA7A14" w:rsidRDefault="005E35B6" w:rsidP="00DA7A14"/>
    <w:p w14:paraId="4E03DBAC" w14:textId="168A5D01" w:rsidR="00762A78" w:rsidRDefault="00762A78" w:rsidP="00717ACD">
      <w:pPr>
        <w:pStyle w:val="Heading3"/>
      </w:pPr>
      <w:bookmarkStart w:id="12" w:name="_Toc195196537"/>
      <w:bookmarkStart w:id="13" w:name="_Toc197420391"/>
      <w:r>
        <w:t xml:space="preserve">2.1.2 </w:t>
      </w:r>
      <w:r w:rsidRPr="00A53AFA">
        <w:t xml:space="preserve">Health and </w:t>
      </w:r>
      <w:r w:rsidR="007F3EEB">
        <w:t>d</w:t>
      </w:r>
      <w:r w:rsidRPr="00A53AFA">
        <w:t xml:space="preserve">isability </w:t>
      </w:r>
      <w:r w:rsidR="007F3EEB">
        <w:t>a</w:t>
      </w:r>
      <w:r w:rsidRPr="00A53AFA">
        <w:t>ssessments</w:t>
      </w:r>
      <w:bookmarkEnd w:id="12"/>
      <w:bookmarkEnd w:id="13"/>
    </w:p>
    <w:p w14:paraId="050F2FB4" w14:textId="77777777" w:rsidR="00762A78" w:rsidRDefault="00762A78" w:rsidP="00762A78">
      <w:r>
        <w:t>In accordance with HCPC SETs, a</w:t>
      </w:r>
      <w:r w:rsidRPr="00A53AFA">
        <w:t>pplicants should be in sufficiently good health to meet programme requirements</w:t>
      </w:r>
      <w:r>
        <w:t xml:space="preserve">. </w:t>
      </w:r>
      <w:r w:rsidRPr="005C0FDF">
        <w:t xml:space="preserve">Any health-related concerns will be considered on a case-by-case </w:t>
      </w:r>
      <w:r w:rsidRPr="005C0FDF">
        <w:lastRenderedPageBreak/>
        <w:t>basis, ensuring a supportive and inclusive approach to meeting programme competencies while maintaining safe and ethical professional practice</w:t>
      </w:r>
      <w:r>
        <w:t>.</w:t>
      </w:r>
    </w:p>
    <w:p w14:paraId="32A5B42E" w14:textId="77777777" w:rsidR="00762A78" w:rsidRPr="00A53AFA" w:rsidRDefault="00762A78" w:rsidP="00762A78">
      <w:r w:rsidRPr="00C80466">
        <w:t xml:space="preserve">Higher Education Institutions (HEIs) offering pre-registration </w:t>
      </w:r>
      <w:r>
        <w:t>s</w:t>
      </w:r>
      <w:r w:rsidRPr="00C80466">
        <w:t xml:space="preserve">peech and </w:t>
      </w:r>
      <w:r>
        <w:t>l</w:t>
      </w:r>
      <w:r w:rsidRPr="00C80466">
        <w:t xml:space="preserve">anguage </w:t>
      </w:r>
      <w:r>
        <w:t>t</w:t>
      </w:r>
      <w:r w:rsidRPr="00C80466">
        <w:t xml:space="preserve">herapy programmes are committed to inclusivity and are encouraged to provide reasonable assessment adjustments for </w:t>
      </w:r>
      <w:r>
        <w:t xml:space="preserve">learners </w:t>
      </w:r>
      <w:r w:rsidRPr="00C80466">
        <w:t>with disabilities.</w:t>
      </w:r>
    </w:p>
    <w:p w14:paraId="19FE0D7F" w14:textId="77777777" w:rsidR="00762A78" w:rsidRPr="000C33BA" w:rsidRDefault="00762A78" w:rsidP="00762A78">
      <w:r w:rsidRPr="001B08ED">
        <w:t xml:space="preserve">HEIs are responsible for implementing reasonable assessment adjustments to support </w:t>
      </w:r>
      <w:r>
        <w:t>learners</w:t>
      </w:r>
      <w:r w:rsidRPr="001B08ED">
        <w:t xml:space="preserve"> with disabilities. However, it is crucial that these adjustments do not compromise the integrity of the assessment process</w:t>
      </w:r>
      <w:r>
        <w:t xml:space="preserve"> or learning experience.</w:t>
      </w:r>
    </w:p>
    <w:p w14:paraId="4258913C" w14:textId="77777777" w:rsidR="00762A78" w:rsidRPr="00B60892" w:rsidRDefault="00762A78" w:rsidP="00762A78">
      <w:pPr>
        <w:rPr>
          <w:b/>
          <w:bCs/>
        </w:rPr>
      </w:pPr>
      <w:r w:rsidRPr="00B60892">
        <w:t xml:space="preserve">HEIs have a legal duty to disabled students with the legislation differing depending on the territory within the </w:t>
      </w:r>
      <w:r>
        <w:t>Four Nations</w:t>
      </w:r>
      <w:r w:rsidRPr="001212E7">
        <w:t>.</w:t>
      </w:r>
      <w:r w:rsidRPr="00B60892">
        <w:rPr>
          <w:b/>
          <w:bCs/>
        </w:rPr>
        <w:t> </w:t>
      </w:r>
    </w:p>
    <w:p w14:paraId="5AC88B4E" w14:textId="77777777" w:rsidR="00762A78" w:rsidRPr="00B13E34" w:rsidRDefault="00762A78" w:rsidP="00762A78">
      <w:pPr>
        <w:rPr>
          <w:highlight w:val="yellow"/>
        </w:rPr>
      </w:pPr>
    </w:p>
    <w:p w14:paraId="5A950760" w14:textId="77777777" w:rsidR="00762A78" w:rsidRDefault="00762A78" w:rsidP="00717ACD">
      <w:pPr>
        <w:pStyle w:val="Heading3"/>
      </w:pPr>
      <w:bookmarkStart w:id="14" w:name="_Toc195196538"/>
      <w:bookmarkStart w:id="15" w:name="_Toc197420392"/>
      <w:r>
        <w:t xml:space="preserve">2.1.3 </w:t>
      </w:r>
      <w:r w:rsidRPr="005E2147">
        <w:t>English language proficiency</w:t>
      </w:r>
      <w:bookmarkEnd w:id="14"/>
      <w:bookmarkEnd w:id="15"/>
      <w:r w:rsidRPr="005E2147">
        <w:t xml:space="preserve"> </w:t>
      </w:r>
      <w:r w:rsidRPr="005E2147">
        <w:t> </w:t>
      </w:r>
    </w:p>
    <w:p w14:paraId="2248D820" w14:textId="77777777" w:rsidR="00762A78" w:rsidRPr="00271B4D" w:rsidRDefault="00762A78" w:rsidP="00762A78">
      <w:r w:rsidRPr="00271B4D">
        <w:t>The Health and Care Professions Council (HCPC) maintain the requirement for registrants to demonstrate proficiency in English, specifically: </w:t>
      </w:r>
    </w:p>
    <w:p w14:paraId="5F980CD4" w14:textId="77777777" w:rsidR="00762A78" w:rsidRDefault="00762A78" w:rsidP="0099693B">
      <w:pPr>
        <w:numPr>
          <w:ilvl w:val="0"/>
          <w:numId w:val="6"/>
        </w:numPr>
      </w:pPr>
      <w:r>
        <w:t>“</w:t>
      </w:r>
      <w:r w:rsidRPr="00271B4D">
        <w:t xml:space="preserve">Communicate in English to the required standard for their profession (equivalent to level 8 of the International English Language Testing System, with no element below 7.5)." </w:t>
      </w:r>
    </w:p>
    <w:p w14:paraId="67310C9C" w14:textId="03758D37" w:rsidR="00762A78" w:rsidRDefault="00762A78" w:rsidP="00B13E34">
      <w:r>
        <w:t xml:space="preserve">HEI’s must ensure </w:t>
      </w:r>
      <w:r w:rsidRPr="006120ED">
        <w:t>applicants either meet HCPC English language proficiency requirements or provide a structured plan for those needing to reach the required level by HCPC registration</w:t>
      </w:r>
      <w:r w:rsidR="00B13E34">
        <w:t>.</w:t>
      </w:r>
    </w:p>
    <w:p w14:paraId="6F639313" w14:textId="77777777" w:rsidR="00B13E34" w:rsidRPr="00271B4D" w:rsidRDefault="00B13E34" w:rsidP="00B13E34"/>
    <w:p w14:paraId="5FBDB694" w14:textId="5C646055" w:rsidR="00762A78" w:rsidRPr="0050558D" w:rsidRDefault="00762A78" w:rsidP="00717ACD">
      <w:pPr>
        <w:pStyle w:val="Heading3"/>
      </w:pPr>
      <w:bookmarkStart w:id="16" w:name="_Toc195196539"/>
      <w:bookmarkStart w:id="17" w:name="_Toc197420393"/>
      <w:r>
        <w:t xml:space="preserve">2.1.4 </w:t>
      </w:r>
      <w:bookmarkStart w:id="18" w:name="_Toc191936311"/>
      <w:r w:rsidRPr="0050558D">
        <w:t>Admission</w:t>
      </w:r>
      <w:r>
        <w:t>s</w:t>
      </w:r>
      <w:r w:rsidRPr="0050558D">
        <w:t xml:space="preserve"> </w:t>
      </w:r>
      <w:r w:rsidR="00504267">
        <w:t>c</w:t>
      </w:r>
      <w:r w:rsidRPr="0050558D">
        <w:t xml:space="preserve">riteria for </w:t>
      </w:r>
      <w:r w:rsidR="00504267">
        <w:t>u</w:t>
      </w:r>
      <w:r w:rsidRPr="0050558D">
        <w:t xml:space="preserve">ndergraduate, </w:t>
      </w:r>
      <w:r w:rsidR="00504267">
        <w:t>p</w:t>
      </w:r>
      <w:r w:rsidRPr="0050558D">
        <w:t xml:space="preserve">ostgraduate and </w:t>
      </w:r>
      <w:r w:rsidR="00504267">
        <w:t>a</w:t>
      </w:r>
      <w:r w:rsidRPr="0050558D">
        <w:t>pprenticeships</w:t>
      </w:r>
      <w:bookmarkEnd w:id="16"/>
      <w:bookmarkEnd w:id="17"/>
      <w:bookmarkEnd w:id="18"/>
      <w:r w:rsidRPr="0050558D">
        <w:t>  </w:t>
      </w:r>
    </w:p>
    <w:p w14:paraId="0C1239EA" w14:textId="77777777" w:rsidR="00762A78" w:rsidRDefault="00762A78" w:rsidP="00762A78">
      <w:r w:rsidRPr="005E2147">
        <w:t xml:space="preserve">Admission requirements are determined by individual HEIs. However, the RCSLT expects that </w:t>
      </w:r>
      <w:r>
        <w:t xml:space="preserve">successful </w:t>
      </w:r>
      <w:r w:rsidRPr="005E2147">
        <w:t>applicants will possess academic qualifications that demonstrate the necessary level of ability to successfully meet the</w:t>
      </w:r>
      <w:r w:rsidRPr="002A5929">
        <w:t xml:space="preserve"> learning outcomes</w:t>
      </w:r>
      <w:r w:rsidRPr="005E2147">
        <w:t xml:space="preserve"> of the programme</w:t>
      </w:r>
      <w:r>
        <w:t>.</w:t>
      </w:r>
    </w:p>
    <w:p w14:paraId="0EDEBD56" w14:textId="77777777" w:rsidR="00B13E34" w:rsidRPr="005E2147" w:rsidRDefault="00B13E34" w:rsidP="00762A78">
      <w:pPr>
        <w:rPr>
          <w:b/>
          <w:bCs/>
        </w:rPr>
      </w:pPr>
    </w:p>
    <w:p w14:paraId="324479EF" w14:textId="228AA348" w:rsidR="00762A78" w:rsidRPr="00BD17D2" w:rsidRDefault="00762A78" w:rsidP="00762A78">
      <w:pPr>
        <w:pStyle w:val="Heading2"/>
      </w:pPr>
      <w:bookmarkStart w:id="19" w:name="_Toc195196540"/>
      <w:bookmarkStart w:id="20" w:name="_Toc197420394"/>
      <w:r>
        <w:t xml:space="preserve">2.2 </w:t>
      </w:r>
      <w:r w:rsidRPr="00BD17D2">
        <w:t xml:space="preserve">Equity, </w:t>
      </w:r>
      <w:r w:rsidR="00217A7A">
        <w:t>d</w:t>
      </w:r>
      <w:r w:rsidRPr="00BD17D2">
        <w:t xml:space="preserve">iversity and </w:t>
      </w:r>
      <w:r w:rsidR="00217A7A">
        <w:t>b</w:t>
      </w:r>
      <w:r>
        <w:t>elonging</w:t>
      </w:r>
      <w:r w:rsidRPr="00BD17D2">
        <w:t xml:space="preserve"> (ED</w:t>
      </w:r>
      <w:r>
        <w:t>B</w:t>
      </w:r>
      <w:r w:rsidRPr="00BD17D2">
        <w:t>)</w:t>
      </w:r>
      <w:bookmarkEnd w:id="19"/>
      <w:bookmarkEnd w:id="20"/>
      <w:r w:rsidRPr="00BD17D2">
        <w:t> </w:t>
      </w:r>
    </w:p>
    <w:p w14:paraId="08069AF2" w14:textId="2FD704F0" w:rsidR="00762A78" w:rsidRPr="00A75EF0" w:rsidRDefault="00762A78" w:rsidP="00762A78">
      <w:r w:rsidRPr="00A75EF0">
        <w:t>HEIs</w:t>
      </w:r>
      <w:r>
        <w:t xml:space="preserve"> </w:t>
      </w:r>
      <w:r w:rsidRPr="00A75EF0">
        <w:t xml:space="preserve">must embed Equity, Diversity, and Belonging (EDB) principles </w:t>
      </w:r>
      <w:r>
        <w:t xml:space="preserve">across all elements of a programme </w:t>
      </w:r>
      <w:r w:rsidRPr="00A75EF0">
        <w:t>to ensure fair access, representation, and</w:t>
      </w:r>
      <w:r>
        <w:t xml:space="preserve"> opportunities for</w:t>
      </w:r>
      <w:r w:rsidRPr="00A75EF0">
        <w:t xml:space="preserve"> success for all applicants. Admission processes should be transparent and actively encourage applications from diverse backgrounds, reflecting the communit</w:t>
      </w:r>
      <w:r>
        <w:t>ies</w:t>
      </w:r>
      <w:r w:rsidRPr="00A75EF0">
        <w:t xml:space="preserve"> </w:t>
      </w:r>
      <w:r w:rsidR="00855C17">
        <w:t xml:space="preserve">which </w:t>
      </w:r>
      <w:r w:rsidRPr="00A75EF0">
        <w:t>speech and language therapists serve (Advance HE).</w:t>
      </w:r>
    </w:p>
    <w:p w14:paraId="0072F695" w14:textId="77777777" w:rsidR="00762A78" w:rsidRDefault="00762A78" w:rsidP="00762A78">
      <w:r w:rsidRPr="00A75EF0">
        <w:lastRenderedPageBreak/>
        <w:t>The RCSLT Curriculum Guidance highlights the need for EDB-driven recruitment and support structures to build an equitable workforce, while Universities UK underscores the importance of inclusive strategies to remove systemic barriers to access and progression in higher education</w:t>
      </w:r>
    </w:p>
    <w:p w14:paraId="4A1341DF" w14:textId="77777777" w:rsidR="005E35B6" w:rsidRDefault="005E35B6" w:rsidP="00762A78"/>
    <w:p w14:paraId="556A5C3D" w14:textId="16DA0376" w:rsidR="00762A78" w:rsidRPr="00911634" w:rsidRDefault="00762A78" w:rsidP="00762A78">
      <w:pPr>
        <w:pStyle w:val="Heading2"/>
      </w:pPr>
      <w:bookmarkStart w:id="21" w:name="_Toc195196541"/>
      <w:bookmarkStart w:id="22" w:name="_Toc197420395"/>
      <w:r>
        <w:t xml:space="preserve">2.3 </w:t>
      </w:r>
      <w:r w:rsidRPr="00911634">
        <w:t xml:space="preserve">Length and </w:t>
      </w:r>
      <w:r w:rsidR="00217A7A">
        <w:t>s</w:t>
      </w:r>
      <w:r w:rsidRPr="00911634">
        <w:t xml:space="preserve">tructure of </w:t>
      </w:r>
      <w:r w:rsidR="00217A7A">
        <w:t>p</w:t>
      </w:r>
      <w:r w:rsidRPr="00911634">
        <w:t xml:space="preserve">rogrammes </w:t>
      </w:r>
      <w:r w:rsidR="00217A7A">
        <w:t>l</w:t>
      </w:r>
      <w:r w:rsidRPr="00911634">
        <w:t xml:space="preserve">eading to </w:t>
      </w:r>
      <w:r>
        <w:t xml:space="preserve">SLT </w:t>
      </w:r>
      <w:r w:rsidR="00217A7A">
        <w:t>r</w:t>
      </w:r>
      <w:r>
        <w:t>e</w:t>
      </w:r>
      <w:r w:rsidRPr="00911634">
        <w:t>gistration</w:t>
      </w:r>
      <w:bookmarkEnd w:id="21"/>
      <w:bookmarkEnd w:id="22"/>
      <w:r w:rsidRPr="00911634">
        <w:t xml:space="preserve"> </w:t>
      </w:r>
    </w:p>
    <w:p w14:paraId="6C616D25" w14:textId="77777777" w:rsidR="00762A78" w:rsidRPr="001C60C9" w:rsidRDefault="00762A78" w:rsidP="00762A78">
      <w:r w:rsidRPr="001C60C9">
        <w:t>All educational pathways leading to eligibility for registration as a Speech and Language Therapist (SLT) must be of sufficient overall duration to ensure learners can achieve the knowledge and skills outlined in Section 3.</w:t>
      </w:r>
    </w:p>
    <w:p w14:paraId="70A519B4" w14:textId="77777777" w:rsidR="00762A78" w:rsidRPr="001C60C9" w:rsidRDefault="00762A78" w:rsidP="00762A78">
      <w:r w:rsidRPr="001C60C9">
        <w:t>HEIs must provide clear and detailed documentation of programme length. The standard durations are as follows:</w:t>
      </w:r>
    </w:p>
    <w:p w14:paraId="08D7F293" w14:textId="77777777" w:rsidR="00762A78" w:rsidRPr="001C60C9" w:rsidRDefault="00762A78" w:rsidP="0099693B">
      <w:pPr>
        <w:numPr>
          <w:ilvl w:val="0"/>
          <w:numId w:val="97"/>
        </w:numPr>
      </w:pPr>
      <w:r w:rsidRPr="001C60C9">
        <w:t xml:space="preserve">Undergraduate programmes: </w:t>
      </w:r>
      <w:proofErr w:type="gramStart"/>
      <w:r w:rsidRPr="001C60C9">
        <w:t>Typically</w:t>
      </w:r>
      <w:proofErr w:type="gramEnd"/>
      <w:r w:rsidRPr="001C60C9">
        <w:t xml:space="preserve"> 3 or 4 academic years</w:t>
      </w:r>
    </w:p>
    <w:p w14:paraId="5F819F55" w14:textId="77777777" w:rsidR="00762A78" w:rsidRPr="001C60C9" w:rsidRDefault="00762A78" w:rsidP="0099693B">
      <w:pPr>
        <w:numPr>
          <w:ilvl w:val="0"/>
          <w:numId w:val="97"/>
        </w:numPr>
      </w:pPr>
      <w:r w:rsidRPr="001C60C9">
        <w:t xml:space="preserve">Postgraduate programmes: </w:t>
      </w:r>
      <w:proofErr w:type="gramStart"/>
      <w:r w:rsidRPr="001C60C9">
        <w:t>Typically</w:t>
      </w:r>
      <w:proofErr w:type="gramEnd"/>
      <w:r w:rsidRPr="001C60C9">
        <w:t xml:space="preserve"> 2 academic years</w:t>
      </w:r>
    </w:p>
    <w:p w14:paraId="0ACA66FC" w14:textId="77777777" w:rsidR="00762A78" w:rsidRPr="00472676" w:rsidRDefault="00762A78" w:rsidP="00762A78">
      <w:r w:rsidRPr="00561FBA">
        <w:t>The</w:t>
      </w:r>
      <w:r w:rsidRPr="00472676">
        <w:t xml:space="preserve"> duration of a Speech and Language Therapy (SLT) apprenticeship varies based on the level of study:</w:t>
      </w:r>
      <w:r w:rsidRPr="00472676">
        <w:rPr>
          <w:rFonts w:ascii="Arial" w:hAnsi="Arial" w:cs="Arial"/>
        </w:rPr>
        <w:t>​</w:t>
      </w:r>
    </w:p>
    <w:p w14:paraId="11DD82A1" w14:textId="77777777" w:rsidR="00762A78" w:rsidRPr="00472676" w:rsidRDefault="00762A78" w:rsidP="0099693B">
      <w:pPr>
        <w:numPr>
          <w:ilvl w:val="0"/>
          <w:numId w:val="99"/>
        </w:numPr>
      </w:pPr>
      <w:r w:rsidRPr="00472676">
        <w:t xml:space="preserve">Undergraduate Apprenticeship: </w:t>
      </w:r>
      <w:proofErr w:type="gramStart"/>
      <w:r w:rsidRPr="00472676">
        <w:t>Typically</w:t>
      </w:r>
      <w:proofErr w:type="gramEnd"/>
      <w:r w:rsidRPr="00472676">
        <w:t xml:space="preserve"> around four years in length. </w:t>
      </w:r>
      <w:r w:rsidRPr="00472676">
        <w:rPr>
          <w:rFonts w:ascii="Arial" w:hAnsi="Arial" w:cs="Arial"/>
        </w:rPr>
        <w:t>​</w:t>
      </w:r>
    </w:p>
    <w:p w14:paraId="79E90CFD" w14:textId="77777777" w:rsidR="00762A78" w:rsidRPr="00472676" w:rsidRDefault="00762A78" w:rsidP="0099693B">
      <w:pPr>
        <w:numPr>
          <w:ilvl w:val="0"/>
          <w:numId w:val="99"/>
        </w:numPr>
      </w:pPr>
      <w:r w:rsidRPr="00472676">
        <w:t>Master’s Level Apprenticeship: For individuals who already possess a relevant degree, the apprenticeship may be shorter, approximately three years, allowing them to undertake a master's level qualification</w:t>
      </w:r>
    </w:p>
    <w:p w14:paraId="7CA43015" w14:textId="77777777" w:rsidR="00762A78" w:rsidRPr="001C60C9" w:rsidRDefault="00762A78" w:rsidP="00762A78">
      <w:r w:rsidRPr="001C60C9">
        <w:t>To ensure academic and clinical coherence and relevance, the maximum time from programme entry to registration eligibility should not usually exceed two years beyond the standard programme duration. Exceptions may be made for individual students in line with the HEI’s procedures for managing exceptional circumstances.</w:t>
      </w:r>
    </w:p>
    <w:p w14:paraId="41D57E4E" w14:textId="77777777" w:rsidR="00762A78" w:rsidRPr="001C60C9" w:rsidRDefault="00762A78" w:rsidP="00762A78">
      <w:r w:rsidRPr="001C60C9">
        <w:t>All programmes must:</w:t>
      </w:r>
    </w:p>
    <w:p w14:paraId="365B46BC" w14:textId="77777777" w:rsidR="00762A78" w:rsidRPr="001C60C9" w:rsidRDefault="00762A78" w:rsidP="0099693B">
      <w:pPr>
        <w:numPr>
          <w:ilvl w:val="0"/>
          <w:numId w:val="98"/>
        </w:numPr>
      </w:pPr>
      <w:r w:rsidRPr="001C60C9">
        <w:t>Clearly define attendance requirements</w:t>
      </w:r>
    </w:p>
    <w:p w14:paraId="66B57050" w14:textId="77777777" w:rsidR="00762A78" w:rsidRPr="001C60C9" w:rsidRDefault="00762A78" w:rsidP="0099693B">
      <w:pPr>
        <w:numPr>
          <w:ilvl w:val="0"/>
          <w:numId w:val="98"/>
        </w:numPr>
      </w:pPr>
      <w:r w:rsidRPr="001C60C9">
        <w:t>Explicitly outline the consequences of not meeting attendance expectations</w:t>
      </w:r>
    </w:p>
    <w:p w14:paraId="59A29AFB" w14:textId="77777777" w:rsidR="00762A78" w:rsidRDefault="00762A78" w:rsidP="0099693B">
      <w:pPr>
        <w:numPr>
          <w:ilvl w:val="0"/>
          <w:numId w:val="98"/>
        </w:numPr>
      </w:pPr>
      <w:r w:rsidRPr="001C60C9">
        <w:t>Ensure students understand how attendance and participation affect academic and clinical progression</w:t>
      </w:r>
    </w:p>
    <w:p w14:paraId="0CAB9F41" w14:textId="77777777" w:rsidR="005E35B6" w:rsidRPr="001C60C9" w:rsidRDefault="005E35B6" w:rsidP="005E35B6">
      <w:pPr>
        <w:ind w:left="720"/>
      </w:pPr>
    </w:p>
    <w:p w14:paraId="4E207AEE" w14:textId="55FF92F0" w:rsidR="00762A78" w:rsidRPr="00911634" w:rsidRDefault="00762A78" w:rsidP="00717ACD">
      <w:pPr>
        <w:pStyle w:val="Heading3"/>
      </w:pPr>
      <w:bookmarkStart w:id="23" w:name="_Toc195196542"/>
      <w:bookmarkStart w:id="24" w:name="_Toc197420396"/>
      <w:r>
        <w:t xml:space="preserve">2.3.1 </w:t>
      </w:r>
      <w:r w:rsidRPr="00911634">
        <w:t>Full-</w:t>
      </w:r>
      <w:r w:rsidR="00DE7103">
        <w:t>t</w:t>
      </w:r>
      <w:r w:rsidRPr="00911634">
        <w:t xml:space="preserve">ime </w:t>
      </w:r>
      <w:r w:rsidR="00504267">
        <w:t>u</w:t>
      </w:r>
      <w:r w:rsidRPr="00911634">
        <w:t>niversity-</w:t>
      </w:r>
      <w:r w:rsidR="00DE7103">
        <w:t>b</w:t>
      </w:r>
      <w:r w:rsidRPr="00911634">
        <w:t xml:space="preserve">ased </w:t>
      </w:r>
      <w:r w:rsidR="00DE7103">
        <w:t>p</w:t>
      </w:r>
      <w:r w:rsidRPr="00911634">
        <w:t xml:space="preserve">rogrammes: </w:t>
      </w:r>
      <w:r w:rsidR="00DE7103">
        <w:t>s</w:t>
      </w:r>
      <w:r w:rsidRPr="00911634">
        <w:t xml:space="preserve">tudy </w:t>
      </w:r>
      <w:r w:rsidR="00DE7103">
        <w:t>d</w:t>
      </w:r>
      <w:r w:rsidRPr="00911634">
        <w:t>uration</w:t>
      </w:r>
      <w:bookmarkEnd w:id="23"/>
      <w:bookmarkEnd w:id="24"/>
      <w:r w:rsidRPr="00911634">
        <w:t>  </w:t>
      </w:r>
    </w:p>
    <w:p w14:paraId="4F18DDF1" w14:textId="77777777" w:rsidR="00762A78" w:rsidRPr="00911634" w:rsidRDefault="00762A78" w:rsidP="00762A78">
      <w:r w:rsidRPr="00911634">
        <w:t>When following the university-based route: </w:t>
      </w:r>
    </w:p>
    <w:p w14:paraId="08074C75" w14:textId="04E6B960" w:rsidR="00762A78" w:rsidRPr="00911634" w:rsidRDefault="00762A78" w:rsidP="0099693B">
      <w:pPr>
        <w:numPr>
          <w:ilvl w:val="0"/>
          <w:numId w:val="7"/>
        </w:numPr>
      </w:pPr>
      <w:r w:rsidRPr="00911634">
        <w:lastRenderedPageBreak/>
        <w:t>Full-time undergraduate programmes must be no shorter than three academic years and not exceed four academic years</w:t>
      </w:r>
      <w:r>
        <w:t>.</w:t>
      </w:r>
      <w:r w:rsidRPr="00911634">
        <w:t> </w:t>
      </w:r>
    </w:p>
    <w:p w14:paraId="1B0CD92E" w14:textId="77777777" w:rsidR="00762A78" w:rsidRPr="00911634" w:rsidRDefault="00762A78" w:rsidP="0099693B">
      <w:pPr>
        <w:numPr>
          <w:ilvl w:val="0"/>
          <w:numId w:val="8"/>
        </w:numPr>
      </w:pPr>
      <w:r w:rsidRPr="00911634">
        <w:t xml:space="preserve">Full-time postgraduate programmes </w:t>
      </w:r>
      <w:r>
        <w:t>must be no shorter than two academic years</w:t>
      </w:r>
    </w:p>
    <w:p w14:paraId="25426626" w14:textId="77777777" w:rsidR="005E35B6" w:rsidRPr="00911634" w:rsidRDefault="005E35B6" w:rsidP="005E35B6"/>
    <w:p w14:paraId="7E0A0E32" w14:textId="77777777" w:rsidR="00762A78" w:rsidRPr="00911634" w:rsidRDefault="00762A78" w:rsidP="00717ACD">
      <w:pPr>
        <w:pStyle w:val="Heading3"/>
      </w:pPr>
      <w:bookmarkStart w:id="25" w:name="_Toc195196543"/>
      <w:bookmarkStart w:id="26" w:name="_Toc197420397"/>
      <w:r>
        <w:t xml:space="preserve">2.3.2 </w:t>
      </w:r>
      <w:r w:rsidRPr="00911634">
        <w:t>Part-time university-based programmes: study duration</w:t>
      </w:r>
      <w:bookmarkEnd w:id="25"/>
      <w:bookmarkEnd w:id="26"/>
      <w:r w:rsidRPr="00911634">
        <w:t>  </w:t>
      </w:r>
    </w:p>
    <w:p w14:paraId="62CF8EBF" w14:textId="77777777" w:rsidR="00762A78" w:rsidRPr="00911634" w:rsidRDefault="00762A78" w:rsidP="00762A78">
      <w:r w:rsidRPr="00911634">
        <w:t>Part-time study will constitute an extended version of a full-time programme that already exists or be a separately defined programme. In either circumstance, a cohesive programme of study should be made available, with appropriately integrated academic and clinical components. </w:t>
      </w:r>
    </w:p>
    <w:p w14:paraId="4FA41585" w14:textId="77777777" w:rsidR="00762A78" w:rsidRPr="00911634" w:rsidRDefault="00762A78" w:rsidP="00762A78">
      <w:r w:rsidRPr="00911634">
        <w:t xml:space="preserve">For separately defined programmes of part-time study, the equivalence of the proposed part-time hours to the full-time </w:t>
      </w:r>
      <w:r>
        <w:t>hours</w:t>
      </w:r>
      <w:r w:rsidRPr="00911634">
        <w:t xml:space="preserve"> outlined above must be clearly documented</w:t>
      </w:r>
      <w:r>
        <w:t>.</w:t>
      </w:r>
    </w:p>
    <w:p w14:paraId="64DA6AE0" w14:textId="77777777" w:rsidR="00762A78" w:rsidRDefault="00762A78" w:rsidP="00762A78">
      <w:r w:rsidRPr="00911634">
        <w:t>Where a programme is delivered on a part-time basis, within the programme documentation</w:t>
      </w:r>
      <w:r>
        <w:t>,</w:t>
      </w:r>
      <w:r w:rsidRPr="00911634">
        <w:t xml:space="preserve"> the programme providers must distinguish between a part-time programme</w:t>
      </w:r>
      <w:r>
        <w:t xml:space="preserve"> by design</w:t>
      </w:r>
      <w:r w:rsidRPr="00911634">
        <w:t xml:space="preserve"> and a part-time route through a full-time programme</w:t>
      </w:r>
      <w:r>
        <w:t>.</w:t>
      </w:r>
    </w:p>
    <w:p w14:paraId="6B9D697A" w14:textId="77777777" w:rsidR="005E35B6" w:rsidRPr="00911634" w:rsidRDefault="005E35B6" w:rsidP="00762A78"/>
    <w:p w14:paraId="2A43123B" w14:textId="5E2C42BD" w:rsidR="00762A78" w:rsidRPr="00911634" w:rsidRDefault="00762A78" w:rsidP="00717ACD">
      <w:pPr>
        <w:pStyle w:val="Heading3"/>
      </w:pPr>
      <w:bookmarkStart w:id="27" w:name="_Toc195196544"/>
      <w:bookmarkStart w:id="28" w:name="_Toc197420398"/>
      <w:r>
        <w:t xml:space="preserve">2.3.3 </w:t>
      </w:r>
      <w:r w:rsidRPr="00911634">
        <w:t xml:space="preserve">Apprenticeship </w:t>
      </w:r>
      <w:r w:rsidR="00DE7103">
        <w:t>p</w:t>
      </w:r>
      <w:r w:rsidRPr="00911634">
        <w:t>rogrammes</w:t>
      </w:r>
      <w:bookmarkEnd w:id="27"/>
      <w:bookmarkEnd w:id="28"/>
    </w:p>
    <w:p w14:paraId="6A1F28C3" w14:textId="77777777" w:rsidR="00762A78" w:rsidRPr="00911634" w:rsidRDefault="00762A78" w:rsidP="00762A78">
      <w:pPr>
        <w:rPr>
          <w:b/>
          <w:bCs/>
        </w:rPr>
      </w:pPr>
      <w:r w:rsidRPr="00911634">
        <w:t>The RCSLT has provided guidance regarding the structure and duration of speech and language therapy apprenticeships. Typically, if an apprentice dedicates 20% of their working hours to academic learning, it is anticipated that completing the undergraduate pre-registration curriculum will take approximately four years. This estimation assumes a standard</w:t>
      </w:r>
      <w:r>
        <w:t>, full time e</w:t>
      </w:r>
      <w:r w:rsidRPr="00911634">
        <w:t>mployee working schedule, rather than a traditional academic calendar</w:t>
      </w:r>
      <w:r>
        <w:rPr>
          <w:b/>
          <w:bCs/>
        </w:rPr>
        <w:t>.</w:t>
      </w:r>
    </w:p>
    <w:p w14:paraId="486BBE0B" w14:textId="77777777" w:rsidR="00762A78" w:rsidRPr="00911634" w:rsidRDefault="00762A78" w:rsidP="00762A78">
      <w:r w:rsidRPr="00911634">
        <w:t>For postgraduate degree apprenticeships, the RCSLT expects a shorter duration compared to undergraduate apprenticeships, provided they follow a similar delivery model.  </w:t>
      </w:r>
    </w:p>
    <w:p w14:paraId="686699D7" w14:textId="77777777" w:rsidR="00762A78" w:rsidRPr="00911634" w:rsidRDefault="00762A78" w:rsidP="00762A78">
      <w:r w:rsidRPr="00911634">
        <w:t>Adjustments to the balance between academic learning and workplace responsibilities can influence the overall length of the programme. The distribution of academic and practical training is flexible and should be collaboratively determined by Higher Education Institutions (HEIs) and employers, tailored to the specific needs and agreements of the apprenticeship arrangement.  </w:t>
      </w:r>
    </w:p>
    <w:p w14:paraId="4328B1E2" w14:textId="77777777" w:rsidR="00762A78" w:rsidRPr="0052768D" w:rsidRDefault="00762A78" w:rsidP="00762A78">
      <w:r w:rsidRPr="0052768D">
        <w:t>The RCSLT</w:t>
      </w:r>
      <w:r>
        <w:t xml:space="preserve"> </w:t>
      </w:r>
      <w:r w:rsidRPr="0052768D">
        <w:t>emphasi</w:t>
      </w:r>
      <w:r>
        <w:t>s</w:t>
      </w:r>
      <w:r w:rsidRPr="0052768D">
        <w:t xml:space="preserve">es that </w:t>
      </w:r>
      <w:r>
        <w:t>such</w:t>
      </w:r>
      <w:r w:rsidRPr="0052768D">
        <w:t xml:space="preserve"> apprenticeship program</w:t>
      </w:r>
      <w:r>
        <w:t>me</w:t>
      </w:r>
      <w:r w:rsidRPr="0052768D">
        <w:t>s must uphold the same high standards as traditional university-based routes. The curriculum should be identical, ensuring apprentices receive an equivalent level of education and training as their university-based peers.</w:t>
      </w:r>
    </w:p>
    <w:p w14:paraId="44775E8E" w14:textId="08DC0F82" w:rsidR="005E35B6" w:rsidRPr="0052768D" w:rsidRDefault="00762A78" w:rsidP="00762A78">
      <w:r w:rsidRPr="0052768D">
        <w:t xml:space="preserve">The End-Point Assessment (EPA) for the Speech and Language Therapist (Integrated Degree) </w:t>
      </w:r>
      <w:r>
        <w:t>a</w:t>
      </w:r>
      <w:r w:rsidRPr="0052768D">
        <w:t>pprenticeship is a core part of the apprenticeship programme. It is conducted by the Higher Education Institution (HEI) delivering the apprenticeship, provided they are an HCPC Approved Education Provider</w:t>
      </w:r>
      <w:r>
        <w:t>.</w:t>
      </w:r>
      <w:r w:rsidR="0026477B">
        <w:t xml:space="preserve"> </w:t>
      </w:r>
      <w:r w:rsidRPr="0052768D">
        <w:t>The EPA evaluates whether apprentices have achieved the knowledge, skills, and behaviours outlined in the apprenticeship standard</w:t>
      </w:r>
      <w:r>
        <w:t>.</w:t>
      </w:r>
    </w:p>
    <w:p w14:paraId="40B6AEEB" w14:textId="554D0CE0" w:rsidR="00762A78" w:rsidRDefault="00762A78" w:rsidP="00762A78">
      <w:pPr>
        <w:pStyle w:val="Heading2"/>
      </w:pPr>
      <w:bookmarkStart w:id="29" w:name="_Toc195196545"/>
      <w:bookmarkStart w:id="30" w:name="_Toc197420399"/>
      <w:r>
        <w:lastRenderedPageBreak/>
        <w:t xml:space="preserve">2.4 Staffing, </w:t>
      </w:r>
      <w:r w:rsidR="00217A7A">
        <w:t>r</w:t>
      </w:r>
      <w:r>
        <w:t xml:space="preserve">esources </w:t>
      </w:r>
      <w:r w:rsidR="00217A7A">
        <w:t>and</w:t>
      </w:r>
      <w:r>
        <w:t xml:space="preserve"> </w:t>
      </w:r>
      <w:r w:rsidR="00217A7A">
        <w:t>q</w:t>
      </w:r>
      <w:r>
        <w:t xml:space="preserve">uality </w:t>
      </w:r>
      <w:r w:rsidR="00217A7A">
        <w:t>a</w:t>
      </w:r>
      <w:r>
        <w:t>ssurance</w:t>
      </w:r>
      <w:bookmarkEnd w:id="29"/>
      <w:bookmarkEnd w:id="30"/>
      <w:r>
        <w:t xml:space="preserve"> </w:t>
      </w:r>
    </w:p>
    <w:p w14:paraId="3B614BEE" w14:textId="77777777" w:rsidR="00762A78" w:rsidRDefault="00762A78" w:rsidP="00762A78">
      <w:r>
        <w:t>W</w:t>
      </w:r>
      <w:r w:rsidRPr="000F7474">
        <w:t>hile both the RCSLT and HCPC emphasi</w:t>
      </w:r>
      <w:r>
        <w:t>s</w:t>
      </w:r>
      <w:r w:rsidRPr="000F7474">
        <w:t>e the importance of adequate and qualified staffing for speech and language therapy program</w:t>
      </w:r>
      <w:r>
        <w:t>me</w:t>
      </w:r>
      <w:r w:rsidRPr="000F7474">
        <w:t>s, they do not mandate</w:t>
      </w:r>
      <w:r>
        <w:t xml:space="preserve"> the</w:t>
      </w:r>
      <w:r w:rsidRPr="000F7474">
        <w:t xml:space="preserve"> specific</w:t>
      </w:r>
      <w:r>
        <w:t>s</w:t>
      </w:r>
      <w:r w:rsidRPr="000F7474">
        <w:t xml:space="preserve"> </w:t>
      </w:r>
      <w:r>
        <w:t>of this</w:t>
      </w:r>
      <w:r w:rsidRPr="000F7474">
        <w:t>.</w:t>
      </w:r>
      <w:r>
        <w:t xml:space="preserve"> It is therefore expected that</w:t>
      </w:r>
      <w:r w:rsidRPr="000F7474">
        <w:t xml:space="preserve"> HEIs determine appropriate staffing structures that ensure the delivery of effective education and training, aligned with the standards and expectations set by these organi</w:t>
      </w:r>
      <w:r>
        <w:t>s</w:t>
      </w:r>
      <w:r w:rsidRPr="000F7474">
        <w:t>ations.</w:t>
      </w:r>
    </w:p>
    <w:p w14:paraId="1EAACC25" w14:textId="77777777" w:rsidR="00762A78" w:rsidRPr="003E574F" w:rsidRDefault="00762A78" w:rsidP="00762A78">
      <w:r w:rsidRPr="003E574F">
        <w:t>The RCSLT</w:t>
      </w:r>
      <w:r>
        <w:t xml:space="preserve"> does, however</w:t>
      </w:r>
      <w:r w:rsidRPr="003E574F">
        <w:t xml:space="preserve"> </w:t>
      </w:r>
      <w:r>
        <w:t>stipulate</w:t>
      </w:r>
      <w:r w:rsidRPr="003E574F">
        <w:t xml:space="preserve"> that the total </w:t>
      </w:r>
      <w:proofErr w:type="gramStart"/>
      <w:r>
        <w:t>full time</w:t>
      </w:r>
      <w:proofErr w:type="gramEnd"/>
      <w:r>
        <w:t xml:space="preserve"> </w:t>
      </w:r>
      <w:r w:rsidRPr="003E574F">
        <w:t>learner-</w:t>
      </w:r>
      <w:r>
        <w:t xml:space="preserve"> full time </w:t>
      </w:r>
      <w:r w:rsidRPr="003E574F">
        <w:t>staff ratio should</w:t>
      </w:r>
      <w:r w:rsidRPr="000F22C3">
        <w:rPr>
          <w:u w:val="single"/>
        </w:rPr>
        <w:t xml:space="preserve"> </w:t>
      </w:r>
      <w:r w:rsidRPr="003E574F">
        <w:t xml:space="preserve">not exceed </w:t>
      </w:r>
      <w:r w:rsidRPr="000F22C3">
        <w:rPr>
          <w:b/>
          <w:bCs/>
        </w:rPr>
        <w:t>15:1</w:t>
      </w:r>
      <w:r w:rsidRPr="003E574F">
        <w:t xml:space="preserve">, ensuring high-quality education and adequate support for </w:t>
      </w:r>
      <w:r>
        <w:t>learners</w:t>
      </w:r>
      <w:r w:rsidRPr="003E574F">
        <w:t>. When determining staffing levels, the following factors must be considered: </w:t>
      </w:r>
    </w:p>
    <w:p w14:paraId="19666363" w14:textId="77777777" w:rsidR="00762A78" w:rsidRPr="003E574F" w:rsidRDefault="00762A78" w:rsidP="0099693B">
      <w:pPr>
        <w:numPr>
          <w:ilvl w:val="0"/>
          <w:numId w:val="2"/>
        </w:numPr>
      </w:pPr>
      <w:r w:rsidRPr="003E574F">
        <w:rPr>
          <w:b/>
          <w:bCs/>
        </w:rPr>
        <w:t>Discipline-Specific Expertise:</w:t>
      </w:r>
      <w:r w:rsidRPr="003E574F">
        <w:t xml:space="preserve"> The balance between speech and language therapy-qualified staff and other contributors must be sufficient for effective programme development and delivery. </w:t>
      </w:r>
    </w:p>
    <w:p w14:paraId="07FF8C6F" w14:textId="77777777" w:rsidR="00762A78" w:rsidRPr="003E574F" w:rsidRDefault="00762A78" w:rsidP="0099693B">
      <w:pPr>
        <w:numPr>
          <w:ilvl w:val="0"/>
          <w:numId w:val="3"/>
        </w:numPr>
      </w:pPr>
      <w:r w:rsidRPr="003E574F">
        <w:rPr>
          <w:b/>
          <w:bCs/>
        </w:rPr>
        <w:t>Core HCPC-Registered SLT Staff:</w:t>
      </w:r>
      <w:r w:rsidRPr="003E574F">
        <w:t xml:space="preserve"> A minimum of four full-time equivalent HCPC-registered speech and language therapists should be part of the core teaching team </w:t>
      </w:r>
      <w:r w:rsidRPr="00BC065F">
        <w:t>across the duration of the program</w:t>
      </w:r>
      <w:r>
        <w:t>me</w:t>
      </w:r>
      <w:r w:rsidRPr="003E574F">
        <w:t>. </w:t>
      </w:r>
    </w:p>
    <w:p w14:paraId="71BB2C07" w14:textId="77777777" w:rsidR="00762A78" w:rsidRPr="003E574F" w:rsidRDefault="00762A78" w:rsidP="0099693B">
      <w:pPr>
        <w:numPr>
          <w:ilvl w:val="0"/>
          <w:numId w:val="4"/>
        </w:numPr>
      </w:pPr>
      <w:r w:rsidRPr="003E574F">
        <w:rPr>
          <w:b/>
          <w:bCs/>
        </w:rPr>
        <w:t>External Contributors:</w:t>
      </w:r>
      <w:r w:rsidRPr="003E574F">
        <w:t xml:space="preserve"> Access to guest </w:t>
      </w:r>
      <w:r>
        <w:t>educators</w:t>
      </w:r>
      <w:r w:rsidRPr="003E574F">
        <w:t xml:space="preserve"> or specialists who bring expertise beyond the core teaching team</w:t>
      </w:r>
      <w:r>
        <w:t xml:space="preserve"> should be utilised where appropriate.</w:t>
      </w:r>
    </w:p>
    <w:p w14:paraId="3495011B" w14:textId="77777777" w:rsidR="00762A78" w:rsidRDefault="00762A78" w:rsidP="0099693B">
      <w:pPr>
        <w:numPr>
          <w:ilvl w:val="0"/>
          <w:numId w:val="5"/>
        </w:numPr>
      </w:pPr>
      <w:r w:rsidRPr="003E574F">
        <w:rPr>
          <w:b/>
          <w:bCs/>
        </w:rPr>
        <w:t>Cohort Size and Composition:</w:t>
      </w:r>
      <w:r w:rsidRPr="003E574F">
        <w:t xml:space="preserve"> Programme staffing should reflect the number and needs of enrolled learners. </w:t>
      </w:r>
    </w:p>
    <w:p w14:paraId="53582653" w14:textId="4EF40CAF" w:rsidR="00762A78" w:rsidRDefault="00762A78" w:rsidP="00762A78">
      <w:r>
        <w:t>In addition to the above, a</w:t>
      </w:r>
      <w:r w:rsidRPr="00862CDC">
        <w:t xml:space="preserve">ll </w:t>
      </w:r>
      <w:r>
        <w:t>P</w:t>
      </w:r>
      <w:r w:rsidRPr="00862CDC">
        <w:t xml:space="preserve">rogramme </w:t>
      </w:r>
      <w:r>
        <w:t>Le</w:t>
      </w:r>
      <w:r w:rsidRPr="00862CDC">
        <w:t>ads must have a sufficient understanding of the speech and language therapy profession to effectively fulfil their role and actively engage with the professional body on national workforce matters. </w:t>
      </w:r>
      <w:r>
        <w:t>Furthermore, RCSLT</w:t>
      </w:r>
      <w:r w:rsidRPr="00862CDC">
        <w:t xml:space="preserve"> strongly recommended that all </w:t>
      </w:r>
      <w:r>
        <w:t>SLTs</w:t>
      </w:r>
      <w:r w:rsidRPr="00862CDC">
        <w:t xml:space="preserve"> teaching on pre-registration programmes </w:t>
      </w:r>
      <w:r>
        <w:t xml:space="preserve">hold RCSLT membership </w:t>
      </w:r>
      <w:r w:rsidRPr="00862CDC">
        <w:t xml:space="preserve">in addition to maintaining HCPC registration. </w:t>
      </w:r>
      <w:r>
        <w:t>This</w:t>
      </w:r>
      <w:r w:rsidRPr="00862CDC">
        <w:t xml:space="preserve"> enables educators to </w:t>
      </w:r>
      <w:r>
        <w:t>ensure that they relate to</w:t>
      </w:r>
      <w:r w:rsidRPr="00862CDC">
        <w:t xml:space="preserve"> </w:t>
      </w:r>
      <w:r>
        <w:t xml:space="preserve">both national and </w:t>
      </w:r>
      <w:r w:rsidRPr="00862CDC">
        <w:t>professional developments</w:t>
      </w:r>
      <w:r>
        <w:t>.</w:t>
      </w:r>
    </w:p>
    <w:p w14:paraId="77C31CDC" w14:textId="77777777" w:rsidR="00762A78" w:rsidRDefault="00762A78" w:rsidP="00762A78">
      <w:r>
        <w:t xml:space="preserve">Regarding quality assurance, each institution must be able to evidence appropriate mechanisms to assure the robustness of their learners’ outcomes in terms of assessments, marking, feedback and moderation, HEI governance processes should be followed regarding the appointment of External examiners. The number of external examiners should </w:t>
      </w:r>
      <w:proofErr w:type="gramStart"/>
      <w:r>
        <w:t>take into account</w:t>
      </w:r>
      <w:proofErr w:type="gramEnd"/>
      <w:r>
        <w:t xml:space="preserve"> the number of pre-registration programmes at the institution, the experience of the examiners appointed and how recently the HEI has commenced delivering an SLT programme or programmes. The External examiners for any institution must include at least one registered SLT to provide professional oversight of clinical modules.</w:t>
      </w:r>
    </w:p>
    <w:p w14:paraId="736B6C30" w14:textId="77777777" w:rsidR="005E35B6" w:rsidRDefault="005E35B6" w:rsidP="00762A78"/>
    <w:p w14:paraId="1C78609D" w14:textId="02D304C1" w:rsidR="00762A78" w:rsidRPr="00A14832" w:rsidRDefault="00762A78" w:rsidP="00717ACD">
      <w:pPr>
        <w:pStyle w:val="Heading3"/>
      </w:pPr>
      <w:bookmarkStart w:id="31" w:name="_Toc195196546"/>
      <w:bookmarkStart w:id="32" w:name="_Toc197420400"/>
      <w:r>
        <w:t xml:space="preserve">2.4.1 </w:t>
      </w:r>
      <w:r w:rsidRPr="00A14832">
        <w:t xml:space="preserve">Professional </w:t>
      </w:r>
      <w:r w:rsidR="00DE7103">
        <w:t>d</w:t>
      </w:r>
      <w:r w:rsidRPr="00A14832">
        <w:t xml:space="preserve">evelopment </w:t>
      </w:r>
      <w:r w:rsidR="00DE7103">
        <w:t>o</w:t>
      </w:r>
      <w:r w:rsidRPr="00A14832">
        <w:t xml:space="preserve">pportunities for HEI </w:t>
      </w:r>
      <w:r w:rsidR="00DE7103">
        <w:t>s</w:t>
      </w:r>
      <w:r w:rsidRPr="00A14832">
        <w:t>taff</w:t>
      </w:r>
      <w:bookmarkEnd w:id="31"/>
      <w:bookmarkEnd w:id="32"/>
      <w:r w:rsidRPr="00A14832">
        <w:t> </w:t>
      </w:r>
    </w:p>
    <w:p w14:paraId="511F2FF1" w14:textId="77777777" w:rsidR="00762A78" w:rsidRPr="009152B6" w:rsidRDefault="00762A78" w:rsidP="00762A78">
      <w:r w:rsidRPr="00A14832">
        <w:t> The HCPC requires all registered professionals, including those working in HEIs, to engage in continuing professional development (CPD) to maintain and enhance their knowledge and skills</w:t>
      </w:r>
      <w:r>
        <w:t>.</w:t>
      </w:r>
      <w:r w:rsidRPr="00A14832">
        <w:t xml:space="preserve"> </w:t>
      </w:r>
      <w:r w:rsidRPr="00BC6E5E">
        <w:lastRenderedPageBreak/>
        <w:t>HCPC</w:t>
      </w:r>
      <w:r>
        <w:t xml:space="preserve"> </w:t>
      </w:r>
      <w:r w:rsidRPr="00A14832">
        <w:t>emphasi</w:t>
      </w:r>
      <w:r>
        <w:t>s</w:t>
      </w:r>
      <w:r w:rsidRPr="00A14832">
        <w:t>es the need for structured learning experiences that ensure staff remain up to date with evolving professional and clinical standards</w:t>
      </w:r>
      <w:r>
        <w:t xml:space="preserve"> and </w:t>
      </w:r>
      <w:r w:rsidRPr="009152B6">
        <w:t>approaches to teaching, learning and assessment</w:t>
      </w:r>
    </w:p>
    <w:p w14:paraId="347F0047" w14:textId="77777777" w:rsidR="00762A78" w:rsidRPr="009C428B" w:rsidRDefault="00762A78" w:rsidP="00762A78">
      <w:bookmarkStart w:id="33" w:name="_Hlk192097465"/>
      <w:r w:rsidRPr="00A14832">
        <w:t>Similarly</w:t>
      </w:r>
      <w:r>
        <w:t>,</w:t>
      </w:r>
      <w:r w:rsidRPr="0070365B">
        <w:t xml:space="preserve"> the </w:t>
      </w:r>
      <w:r w:rsidRPr="00A14832">
        <w:t xml:space="preserve">RCSLT </w:t>
      </w:r>
      <w:r>
        <w:t xml:space="preserve">supports </w:t>
      </w:r>
      <w:r w:rsidRPr="00A14832">
        <w:t xml:space="preserve">the career development </w:t>
      </w:r>
      <w:r w:rsidRPr="0070365B">
        <w:t>of</w:t>
      </w:r>
      <w:r w:rsidRPr="00A14832">
        <w:t xml:space="preserve"> HEI staff. The RCSLT Professional Development Framework encourages</w:t>
      </w:r>
      <w:r>
        <w:t xml:space="preserve"> the </w:t>
      </w:r>
      <w:r w:rsidRPr="00A14832">
        <w:t>active participation in diverse learning opportunities</w:t>
      </w:r>
      <w:r>
        <w:t xml:space="preserve"> </w:t>
      </w:r>
      <w:r w:rsidRPr="00A14832">
        <w:t>to enhance teaching, research, and clinical expertise</w:t>
      </w:r>
      <w:r>
        <w:t>.</w:t>
      </w:r>
    </w:p>
    <w:p w14:paraId="65B9B226" w14:textId="22C305DF" w:rsidR="00762A78" w:rsidRDefault="00762A78" w:rsidP="00762A78">
      <w:r w:rsidRPr="009C428B">
        <w:t>HEI staff should be encouraged to pursue CPD relating to higher education practice early in their academic careers.</w:t>
      </w:r>
      <w:bookmarkEnd w:id="33"/>
    </w:p>
    <w:p w14:paraId="685F59DB" w14:textId="77777777" w:rsidR="005E35B6" w:rsidRPr="00A14832" w:rsidRDefault="005E35B6" w:rsidP="00762A78"/>
    <w:p w14:paraId="1FF4442F" w14:textId="05321AA5" w:rsidR="00762A78" w:rsidRPr="00B374FB" w:rsidRDefault="00762A78" w:rsidP="00762A78">
      <w:pPr>
        <w:pStyle w:val="Heading2"/>
      </w:pPr>
      <w:bookmarkStart w:id="34" w:name="_Toc195196547"/>
      <w:bookmarkStart w:id="35" w:name="_Toc197420401"/>
      <w:r>
        <w:t xml:space="preserve">2.5 </w:t>
      </w:r>
      <w:r w:rsidRPr="00B374FB">
        <w:t xml:space="preserve">Inclusion of </w:t>
      </w:r>
      <w:r w:rsidR="00DE7103">
        <w:t>s</w:t>
      </w:r>
      <w:r w:rsidRPr="00B374FB">
        <w:t xml:space="preserve">ervice </w:t>
      </w:r>
      <w:r w:rsidR="00DE7103">
        <w:t>u</w:t>
      </w:r>
      <w:r w:rsidRPr="00B374FB">
        <w:t>sers </w:t>
      </w:r>
      <w:r>
        <w:t xml:space="preserve">in </w:t>
      </w:r>
      <w:r w:rsidR="00DE7103">
        <w:t>p</w:t>
      </w:r>
      <w:r>
        <w:t xml:space="preserve">rogramme </w:t>
      </w:r>
      <w:r w:rsidR="00DE7103">
        <w:t>d</w:t>
      </w:r>
      <w:r>
        <w:t xml:space="preserve">evelopment and </w:t>
      </w:r>
      <w:r w:rsidR="00DE7103">
        <w:t>d</w:t>
      </w:r>
      <w:r>
        <w:t>elivery</w:t>
      </w:r>
      <w:bookmarkEnd w:id="34"/>
      <w:bookmarkEnd w:id="35"/>
      <w:r w:rsidRPr="00B374FB">
        <w:t> </w:t>
      </w:r>
    </w:p>
    <w:p w14:paraId="78E87385" w14:textId="77777777" w:rsidR="00762A78" w:rsidRPr="0070669D" w:rsidRDefault="00762A78" w:rsidP="00762A78">
      <w:r w:rsidRPr="0070669D">
        <w:t>Higher Education Institutions (HEIs) should actively</w:t>
      </w:r>
      <w:r>
        <w:t xml:space="preserve"> and continually</w:t>
      </w:r>
      <w:r w:rsidRPr="0070669D">
        <w:t xml:space="preserve"> engage service users, including individuals with lived experience of </w:t>
      </w:r>
      <w:r>
        <w:t xml:space="preserve">speech, language, </w:t>
      </w:r>
      <w:r w:rsidRPr="0070669D">
        <w:t>communication</w:t>
      </w:r>
      <w:r>
        <w:t>, eating, drinking</w:t>
      </w:r>
      <w:r w:rsidRPr="0070669D">
        <w:t xml:space="preserve"> and</w:t>
      </w:r>
      <w:r>
        <w:t>/or</w:t>
      </w:r>
      <w:r w:rsidRPr="0070669D">
        <w:t xml:space="preserve"> swallowing difficulties, </w:t>
      </w:r>
      <w:r>
        <w:t>throughout its</w:t>
      </w:r>
      <w:r w:rsidRPr="0070669D">
        <w:t xml:space="preserve"> curriculum design, teaching, assessment, and feedback processes. </w:t>
      </w:r>
    </w:p>
    <w:p w14:paraId="08A4BB38" w14:textId="77777777" w:rsidR="00762A78" w:rsidRDefault="00762A78" w:rsidP="00762A78">
      <w:r w:rsidRPr="0070669D">
        <w:t xml:space="preserve">By embedding service user involvement into programme structures, HEIs ensure that learners develop the knowledge, skills, and empathy needed to deliver effective, person-centred care. This approach also strengthens the connection between education, practice, and the evolving needs of the communities that </w:t>
      </w:r>
      <w:r>
        <w:t>SLTs</w:t>
      </w:r>
      <w:r w:rsidRPr="0070669D">
        <w:t xml:space="preserve"> serve.</w:t>
      </w:r>
    </w:p>
    <w:p w14:paraId="48E1DA12" w14:textId="77777777" w:rsidR="005E35B6" w:rsidRDefault="005E35B6" w:rsidP="00762A78"/>
    <w:p w14:paraId="32AEF73C" w14:textId="11643D9C" w:rsidR="00762A78" w:rsidRDefault="00762A78" w:rsidP="00762A78">
      <w:pPr>
        <w:pStyle w:val="Heading2"/>
      </w:pPr>
      <w:bookmarkStart w:id="36" w:name="_Toc195196548"/>
      <w:bookmarkStart w:id="37" w:name="_Toc197420402"/>
      <w:r>
        <w:t xml:space="preserve">2.6 </w:t>
      </w:r>
      <w:r w:rsidRPr="00641F8B">
        <w:t xml:space="preserve">Partnership in </w:t>
      </w:r>
      <w:r w:rsidR="00DE7103">
        <w:t>p</w:t>
      </w:r>
      <w:r w:rsidRPr="00641F8B">
        <w:t xml:space="preserve">ractice </w:t>
      </w:r>
      <w:r w:rsidR="00DE7103">
        <w:t>e</w:t>
      </w:r>
      <w:r w:rsidRPr="00641F8B">
        <w:t xml:space="preserve">ducation </w:t>
      </w:r>
      <w:r w:rsidR="00DE7103">
        <w:t>p</w:t>
      </w:r>
      <w:r w:rsidRPr="00641F8B">
        <w:t>rovision</w:t>
      </w:r>
      <w:bookmarkEnd w:id="36"/>
      <w:bookmarkEnd w:id="37"/>
    </w:p>
    <w:p w14:paraId="7D4F92DB" w14:textId="77777777" w:rsidR="00762A78" w:rsidRPr="00837C60" w:rsidRDefault="00762A78" w:rsidP="00762A78">
      <w:r>
        <w:t>This section will be updated when the work is completed outside this working group</w:t>
      </w:r>
    </w:p>
    <w:p w14:paraId="70C1E87F" w14:textId="77777777" w:rsidR="00762A78" w:rsidRDefault="00762A78" w:rsidP="00762A78">
      <w:r>
        <w:br w:type="page"/>
      </w:r>
    </w:p>
    <w:p w14:paraId="5A01439A" w14:textId="299B1F01" w:rsidR="00762A78" w:rsidRDefault="00762A78" w:rsidP="00762A78">
      <w:pPr>
        <w:pStyle w:val="Heading1"/>
      </w:pPr>
      <w:bookmarkStart w:id="38" w:name="_Toc195196549"/>
      <w:bookmarkStart w:id="39" w:name="_Toc197420403"/>
      <w:r w:rsidRPr="00DA4D57">
        <w:lastRenderedPageBreak/>
        <w:t xml:space="preserve">Section </w:t>
      </w:r>
      <w:r>
        <w:t>3</w:t>
      </w:r>
      <w:r w:rsidRPr="00DA4D57">
        <w:t xml:space="preserve">: Guidance on </w:t>
      </w:r>
      <w:r w:rsidR="00DE7103">
        <w:t>c</w:t>
      </w:r>
      <w:r w:rsidRPr="00DA4D57">
        <w:t xml:space="preserve">urriculum </w:t>
      </w:r>
      <w:r w:rsidR="00DE7103">
        <w:t>c</w:t>
      </w:r>
      <w:r w:rsidRPr="00DA4D57">
        <w:t>ontent</w:t>
      </w:r>
      <w:bookmarkEnd w:id="38"/>
      <w:bookmarkEnd w:id="39"/>
      <w:r w:rsidRPr="00DA4D57">
        <w:t> </w:t>
      </w:r>
    </w:p>
    <w:p w14:paraId="7D8B4156" w14:textId="77777777" w:rsidR="00762A78" w:rsidRPr="00FF1EC7" w:rsidRDefault="00762A78" w:rsidP="00762A78">
      <w:r w:rsidRPr="00FF1EC7">
        <w:t xml:space="preserve">This section presents an overview of the core </w:t>
      </w:r>
      <w:r>
        <w:t xml:space="preserve">areas and </w:t>
      </w:r>
      <w:r w:rsidRPr="00FF1EC7">
        <w:t xml:space="preserve">domains </w:t>
      </w:r>
      <w:r>
        <w:t xml:space="preserve">of practice </w:t>
      </w:r>
      <w:r w:rsidRPr="00FF1EC7">
        <w:t>that constitute the speech and language curriculum, followed by a summary of the contributory disciplines that underpin and inform academic and professional learning in this field. Together, these elements form a cohesive and comprehensive curriculum framework for pre-registration speech and language learners.</w:t>
      </w:r>
    </w:p>
    <w:p w14:paraId="62566AA3" w14:textId="77777777" w:rsidR="00762A78" w:rsidRDefault="00762A78" w:rsidP="00762A78">
      <w:r w:rsidRPr="00FF1EC7">
        <w:t xml:space="preserve">It is recommended that Section 3 be reviewed in its entirety, </w:t>
      </w:r>
      <w:r>
        <w:t>as no element is intended to be addressed in isolation</w:t>
      </w:r>
      <w:r w:rsidRPr="00FF1EC7">
        <w:t>. This integrated approach supports curriculum developers in designing robust programmes and provides accrediting bodies with a clear framework for evaluating academic coherence, clinical relevance, and lifelong applicability.</w:t>
      </w:r>
    </w:p>
    <w:p w14:paraId="2845ECB9" w14:textId="77777777" w:rsidR="00762A78" w:rsidRPr="00BE7297" w:rsidRDefault="00762A78" w:rsidP="00762A78">
      <w:r w:rsidRPr="00BE7297">
        <w:t xml:space="preserve">The curriculum must embed the essential knowledge and competencies required for professional speech and language therapy practice—referred to as </w:t>
      </w:r>
      <w:r w:rsidRPr="006D7E65">
        <w:rPr>
          <w:b/>
          <w:bCs/>
        </w:rPr>
        <w:t>the core areas</w:t>
      </w:r>
      <w:r w:rsidRPr="00BE7297">
        <w:t>.</w:t>
      </w:r>
    </w:p>
    <w:p w14:paraId="1D973233" w14:textId="77777777" w:rsidR="00762A78" w:rsidRPr="00FF1EC7" w:rsidRDefault="00762A78" w:rsidP="00762A78">
      <w:r w:rsidRPr="00BE7297">
        <w:t>Curriculum design should make explicit how these core areas are taught, practiced, and assessed across the programme, ensuring alignment with professional expectations and readiness for clinical practice.</w:t>
      </w:r>
      <w:r>
        <w:t xml:space="preserve"> </w:t>
      </w:r>
      <w:r w:rsidRPr="00FF1EC7">
        <w:t xml:space="preserve">The </w:t>
      </w:r>
      <w:r>
        <w:t xml:space="preserve">design should </w:t>
      </w:r>
      <w:r w:rsidRPr="00FF1EC7">
        <w:t>reflect the continuum of human development and need, encompassing the full lifespan—from neonatal care through to end-of-life support. This holistic perspective ensures that learners are equipped with the knowledge and skills to work effectively across diverse populations and settings.</w:t>
      </w:r>
    </w:p>
    <w:p w14:paraId="4C6DA2D2" w14:textId="77777777" w:rsidR="00762A78" w:rsidRPr="009162A3" w:rsidRDefault="00762A78" w:rsidP="00762A78">
      <w:r w:rsidRPr="00BE7297">
        <w:t>Higher Education Institutions (HEIs) are responsible for ensuring that their curriculum content addressing these core areas enables learners to:</w:t>
      </w:r>
    </w:p>
    <w:p w14:paraId="250C3964" w14:textId="77777777" w:rsidR="00762A78" w:rsidRPr="006F12DB" w:rsidRDefault="00762A78" w:rsidP="0099693B">
      <w:pPr>
        <w:pStyle w:val="ListParagraph"/>
        <w:numPr>
          <w:ilvl w:val="0"/>
          <w:numId w:val="91"/>
        </w:numPr>
      </w:pPr>
      <w:r w:rsidRPr="006F12DB">
        <w:t>Recognise and describe typical characteristics and presenting features of speech, language, communication, and, where relevant, eating, drinking, and swallowing (EDS) differences and difficulties including their development, presence and impact across the lifespan. </w:t>
      </w:r>
    </w:p>
    <w:p w14:paraId="610288C5" w14:textId="77777777" w:rsidR="00762A78" w:rsidRPr="006F12DB" w:rsidRDefault="00762A78" w:rsidP="0099693B">
      <w:pPr>
        <w:pStyle w:val="ListParagraph"/>
        <w:numPr>
          <w:ilvl w:val="0"/>
          <w:numId w:val="91"/>
        </w:numPr>
      </w:pPr>
      <w:r w:rsidRPr="006F12DB">
        <w:t>Identify and describe underlying causes (aetiology), prevalence (epidemiology), co-occurrence/co-morbidity, and factors that may influence an individual’s outcomes (prognosis). </w:t>
      </w:r>
    </w:p>
    <w:p w14:paraId="3945C66F" w14:textId="77777777" w:rsidR="00762A78" w:rsidRPr="006F12DB" w:rsidRDefault="00762A78" w:rsidP="0099693B">
      <w:pPr>
        <w:pStyle w:val="ListParagraph"/>
        <w:numPr>
          <w:ilvl w:val="0"/>
          <w:numId w:val="91"/>
        </w:numPr>
      </w:pPr>
      <w:r w:rsidRPr="006F12DB">
        <w:t>Understand the interactions between speech, language, communication and EDS differences/difficulties and social interaction/belonging, health, psychosocial wellbeing, education and employment across the lifespan</w:t>
      </w:r>
      <w:r w:rsidRPr="006F12DB">
        <w:rPr>
          <w:rFonts w:ascii="Arial" w:hAnsi="Arial" w:cs="Arial"/>
        </w:rPr>
        <w:t> </w:t>
      </w:r>
      <w:r w:rsidRPr="006F12DB">
        <w:t>recognising the impact of environmental and systemic factors.</w:t>
      </w:r>
      <w:r w:rsidRPr="006F12DB">
        <w:rPr>
          <w:rFonts w:ascii="Arial" w:hAnsi="Arial" w:cs="Arial"/>
        </w:rPr>
        <w:t>  </w:t>
      </w:r>
      <w:r w:rsidRPr="006F12DB">
        <w:t> </w:t>
      </w:r>
    </w:p>
    <w:p w14:paraId="44DA5422" w14:textId="77777777" w:rsidR="00762A78" w:rsidRPr="006F12DB" w:rsidRDefault="00762A78" w:rsidP="0099693B">
      <w:pPr>
        <w:pStyle w:val="ListParagraph"/>
        <w:numPr>
          <w:ilvl w:val="0"/>
          <w:numId w:val="91"/>
        </w:numPr>
      </w:pPr>
      <w:r w:rsidRPr="006F12DB">
        <w:t>Lead or contribute to strengths-based, holistic, and culturally responsive assessments, differential diagnosis, intervention/support, and management of service users within appropriate care pathways</w:t>
      </w:r>
      <w:r>
        <w:rPr>
          <w:u w:val="single"/>
        </w:rPr>
        <w:t xml:space="preserve"> </w:t>
      </w:r>
      <w:r w:rsidRPr="006F12DB">
        <w:t>and underpinned by principles of safe practice. </w:t>
      </w:r>
      <w:r w:rsidRPr="006F12DB">
        <w:rPr>
          <w:b/>
          <w:bCs/>
        </w:rPr>
        <w:t> </w:t>
      </w:r>
      <w:r w:rsidRPr="006F12DB">
        <w:t> </w:t>
      </w:r>
    </w:p>
    <w:p w14:paraId="06DA84F5" w14:textId="77777777" w:rsidR="00762A78" w:rsidRPr="006F12DB" w:rsidRDefault="00762A78" w:rsidP="0099693B">
      <w:pPr>
        <w:pStyle w:val="ListParagraph"/>
        <w:numPr>
          <w:ilvl w:val="0"/>
          <w:numId w:val="91"/>
        </w:numPr>
      </w:pPr>
      <w:r w:rsidRPr="006F12DB">
        <w:t>Evaluate and utilise the current evidence base and lived-experience perspectives</w:t>
      </w:r>
      <w:r w:rsidRPr="006F12DB">
        <w:rPr>
          <w:b/>
          <w:bCs/>
        </w:rPr>
        <w:t xml:space="preserve"> </w:t>
      </w:r>
      <w:r w:rsidRPr="006F12DB">
        <w:t>to inform clinical decisions and evaluate service provision</w:t>
      </w:r>
      <w:r>
        <w:t>.</w:t>
      </w:r>
      <w:r w:rsidRPr="006F12DB">
        <w:rPr>
          <w:rFonts w:ascii="Arial" w:hAnsi="Arial" w:cs="Arial"/>
        </w:rPr>
        <w:t> </w:t>
      </w:r>
      <w:r w:rsidRPr="006F12DB">
        <w:t> </w:t>
      </w:r>
    </w:p>
    <w:p w14:paraId="082B4E00" w14:textId="77777777" w:rsidR="00762A78" w:rsidRPr="006F12DB" w:rsidRDefault="00762A78" w:rsidP="0099693B">
      <w:pPr>
        <w:pStyle w:val="ListParagraph"/>
        <w:numPr>
          <w:ilvl w:val="0"/>
          <w:numId w:val="91"/>
        </w:numPr>
      </w:pPr>
      <w:r w:rsidRPr="006F12DB">
        <w:lastRenderedPageBreak/>
        <w:t>Embody the role of the SLT in interprofessional teams and social networks in the management of speech, language and swallowing differences/difficulties</w:t>
      </w:r>
      <w:r>
        <w:t>.</w:t>
      </w:r>
      <w:r w:rsidRPr="006F12DB">
        <w:t> </w:t>
      </w:r>
    </w:p>
    <w:p w14:paraId="005C02D0" w14:textId="77777777" w:rsidR="00762A78" w:rsidRDefault="00762A78" w:rsidP="0099693B">
      <w:pPr>
        <w:pStyle w:val="ListParagraph"/>
        <w:numPr>
          <w:ilvl w:val="0"/>
          <w:numId w:val="91"/>
        </w:numPr>
      </w:pPr>
      <w:r w:rsidRPr="006F12DB">
        <w:t>Further current speech and language therapy practice by contributing to the collective understanding and models</w:t>
      </w:r>
      <w:r w:rsidRPr="006F12DB">
        <w:rPr>
          <w:rFonts w:ascii="Arial" w:hAnsi="Arial" w:cs="Arial"/>
        </w:rPr>
        <w:t> </w:t>
      </w:r>
      <w:r w:rsidRPr="006F12DB">
        <w:t>as appropriate and advocating for appropriate resourcing</w:t>
      </w:r>
      <w:r>
        <w:t>.</w:t>
      </w:r>
      <w:r w:rsidRPr="006F12DB">
        <w:rPr>
          <w:rFonts w:ascii="Arial" w:hAnsi="Arial" w:cs="Arial"/>
        </w:rPr>
        <w:t> </w:t>
      </w:r>
      <w:r w:rsidRPr="006F12DB">
        <w:t> </w:t>
      </w:r>
    </w:p>
    <w:p w14:paraId="7F0808AD" w14:textId="77777777" w:rsidR="005E35B6" w:rsidRPr="006F12DB" w:rsidRDefault="005E35B6" w:rsidP="005E35B6">
      <w:pPr>
        <w:pStyle w:val="ListParagraph"/>
      </w:pPr>
    </w:p>
    <w:p w14:paraId="64E48A80" w14:textId="68DC6F5A" w:rsidR="00762A78" w:rsidRDefault="00762A78" w:rsidP="00762A78">
      <w:pPr>
        <w:pStyle w:val="Heading2"/>
      </w:pPr>
      <w:bookmarkStart w:id="40" w:name="_Toc195196550"/>
      <w:bookmarkStart w:id="41" w:name="_Toc197420404"/>
      <w:r>
        <w:t xml:space="preserve">3.1 Core </w:t>
      </w:r>
      <w:r w:rsidR="0092678E">
        <w:t>a</w:t>
      </w:r>
      <w:r>
        <w:t>reas</w:t>
      </w:r>
      <w:bookmarkEnd w:id="40"/>
      <w:bookmarkEnd w:id="41"/>
      <w:r>
        <w:t xml:space="preserve"> </w:t>
      </w:r>
    </w:p>
    <w:p w14:paraId="2EA23F66" w14:textId="77777777" w:rsidR="00762A78" w:rsidRPr="00601354" w:rsidRDefault="00762A78" w:rsidP="00762A78">
      <w:r w:rsidRPr="00601354">
        <w:t xml:space="preserve">Each core area in the table should be considered alongside the general principles outlined </w:t>
      </w:r>
      <w:r>
        <w:t>above</w:t>
      </w:r>
      <w:r w:rsidRPr="00601354">
        <w:t>. This list is not exhaustive, as the RCSLT recognises that individual programmes may adapt or emphasise different aspects of the curriculum based on local service needs, staff expertise, emerging clinical practice, and developments in research and policy. These adaptations will naturally evolve over time as the profession advances.</w:t>
      </w:r>
    </w:p>
    <w:p w14:paraId="2166E753" w14:textId="77777777" w:rsidR="00762A78" w:rsidRPr="00601354" w:rsidRDefault="00762A78" w:rsidP="00762A78">
      <w:r w:rsidRPr="00601354">
        <w:t>However, the RCSLT acknowledges the importance of ensuring that learners become familiar with a broad range of diagnoses and clinical terms, regardless of how the curriculum is structured or categorised. To support this, an alphabetised list is provided below. This list reflects concepts commonly found across all RCSLT-accredited programmes. It is not intended to be comprehensive or suggest equal emphasis on each item.</w:t>
      </w:r>
    </w:p>
    <w:p w14:paraId="03C528A2" w14:textId="77777777" w:rsidR="00762A78" w:rsidRPr="006D3CD6" w:rsidRDefault="00762A78" w:rsidP="00762A78">
      <w:r w:rsidRPr="00EB4EFA">
        <w:t xml:space="preserve">The core areas are structured around the domains of professional practice outlined in the RCSLT Professional Development Framework and learning objectives set out in the RCSLT NQP Framework. This ensures a progressive transition from learner and graduate to </w:t>
      </w:r>
      <w:r>
        <w:t>SLT. It is also to be recognised by programmes that this content will be similarly needed by SLTs working in all manner of clinical environments, for example NHS, social care, private practice, education, justice system and others.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1"/>
        <w:gridCol w:w="2794"/>
        <w:gridCol w:w="3319"/>
      </w:tblGrid>
      <w:tr w:rsidR="00762A78" w:rsidRPr="001C2739" w14:paraId="35BBF42F"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DB47B49" w14:textId="77777777" w:rsidR="00762A78" w:rsidRPr="001C2739" w:rsidRDefault="00762A78">
            <w:r w:rsidRPr="001C2739">
              <w:t>Aphasia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FEA6E58" w14:textId="77777777" w:rsidR="00762A78" w:rsidRPr="001C2739" w:rsidRDefault="00762A78">
            <w:r w:rsidRPr="001C2739">
              <w:t>Dysarthria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F98031A" w14:textId="77777777" w:rsidR="00762A78" w:rsidRPr="001C2739" w:rsidRDefault="00762A78">
            <w:r w:rsidRPr="001C2739">
              <w:t>Neoplasm </w:t>
            </w:r>
          </w:p>
        </w:tc>
      </w:tr>
      <w:tr w:rsidR="00762A78" w:rsidRPr="001C2739" w14:paraId="2C354B87"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6936C98" w14:textId="77777777" w:rsidR="00762A78" w:rsidRPr="001C2739" w:rsidRDefault="00762A78">
            <w:r w:rsidRPr="001C2739">
              <w:t>Apraxia of Speech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0B9BB90" w14:textId="2EEB7AE8" w:rsidR="00762A78" w:rsidRPr="001C2739" w:rsidRDefault="00762A78">
            <w:r w:rsidRPr="001C2739">
              <w:t xml:space="preserve">Eating, Drinking </w:t>
            </w:r>
            <w:r w:rsidR="00217A7A">
              <w:t>and</w:t>
            </w:r>
            <w:r w:rsidRPr="001C2739">
              <w:t xml:space="preserve"> Swallowing Needs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05D73EE" w14:textId="77777777" w:rsidR="00762A78" w:rsidRPr="001C2739" w:rsidRDefault="00762A78">
            <w:r w:rsidRPr="001C2739">
              <w:t>Parkinson’s Disease </w:t>
            </w:r>
          </w:p>
        </w:tc>
      </w:tr>
      <w:tr w:rsidR="00762A78" w:rsidRPr="001C2739" w14:paraId="052549AC"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39F3A42" w14:textId="77777777" w:rsidR="00762A78" w:rsidRPr="001C2739" w:rsidRDefault="00762A78">
            <w:r w:rsidRPr="001C2739">
              <w:t>Autism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E8AC300" w14:textId="3E73F8B9" w:rsidR="00762A78" w:rsidRPr="001C2739" w:rsidRDefault="00762A78">
            <w:r w:rsidRPr="001C2739">
              <w:t xml:space="preserve">Gender-Related Voice Change </w:t>
            </w:r>
            <w:r w:rsidR="00217A7A">
              <w:t>and</w:t>
            </w:r>
            <w:r w:rsidRPr="001C2739">
              <w:t xml:space="preserve"> Modification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C67CCB7" w14:textId="77777777" w:rsidR="00762A78" w:rsidRPr="001C2739" w:rsidRDefault="00762A78">
            <w:r w:rsidRPr="001C2739">
              <w:t>Social Communication Differences </w:t>
            </w:r>
          </w:p>
        </w:tc>
      </w:tr>
      <w:tr w:rsidR="00762A78" w:rsidRPr="001C2739" w14:paraId="7CF3E03E"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2880003" w14:textId="77777777" w:rsidR="00762A78" w:rsidRPr="001C2739" w:rsidRDefault="00762A78">
            <w:r w:rsidRPr="001C2739">
              <w:t>Cerebral Palsy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675333B" w14:textId="2FC08624" w:rsidR="00762A78" w:rsidRPr="001C2739" w:rsidRDefault="00762A78">
            <w:r w:rsidRPr="001C2739">
              <w:t xml:space="preserve">Head </w:t>
            </w:r>
            <w:r w:rsidR="00217A7A">
              <w:t>and</w:t>
            </w:r>
            <w:r w:rsidRPr="001C2739">
              <w:t xml:space="preserve"> Neck Cancers and/or Traumas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93B247E" w14:textId="77777777" w:rsidR="00762A78" w:rsidRPr="001C2739" w:rsidRDefault="00762A78">
            <w:r w:rsidRPr="001C2739">
              <w:t>Speech Sound Disorders </w:t>
            </w:r>
          </w:p>
        </w:tc>
      </w:tr>
      <w:tr w:rsidR="00762A78" w:rsidRPr="001C2739" w14:paraId="7583BCCA"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2EEAEFF" w14:textId="77777777" w:rsidR="00762A78" w:rsidRPr="001C2739" w:rsidRDefault="00762A78">
            <w:r w:rsidRPr="001C2739">
              <w:t>Cleft Lip and Palate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9BC4BE0" w14:textId="77777777" w:rsidR="00762A78" w:rsidRPr="001C2739" w:rsidRDefault="00762A78">
            <w:r w:rsidRPr="001C2739">
              <w:t>Hearing Difference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7B77EAF" w14:textId="77777777" w:rsidR="00762A78" w:rsidRPr="001C2739" w:rsidRDefault="00762A78">
            <w:r w:rsidRPr="001C2739">
              <w:t>Stroke </w:t>
            </w:r>
          </w:p>
        </w:tc>
      </w:tr>
      <w:tr w:rsidR="00762A78" w:rsidRPr="001C2739" w14:paraId="0BB11549"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9EE7A95" w14:textId="77777777" w:rsidR="00762A78" w:rsidRPr="001C2739" w:rsidRDefault="00762A78">
            <w:r w:rsidRPr="001C2739">
              <w:t>Cluttering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CE180DE" w14:textId="77777777" w:rsidR="00762A78" w:rsidRPr="001C2739" w:rsidRDefault="00762A78">
            <w:r w:rsidRPr="001C2739">
              <w:t>Learning Disability / Intellectual Disability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199D36" w14:textId="77777777" w:rsidR="00762A78" w:rsidRPr="001C2739" w:rsidRDefault="00762A78">
            <w:r w:rsidRPr="001C2739">
              <w:t>Stuttering/Stammering </w:t>
            </w:r>
          </w:p>
        </w:tc>
      </w:tr>
      <w:tr w:rsidR="00762A78" w:rsidRPr="001C2739" w14:paraId="26A30952"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38A3DE1" w14:textId="77777777" w:rsidR="00762A78" w:rsidRPr="001C2739" w:rsidRDefault="00762A78">
            <w:r w:rsidRPr="001C2739">
              <w:t>Cognitive Communication Disorder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974A899" w14:textId="77777777" w:rsidR="00762A78" w:rsidRPr="001C2739" w:rsidRDefault="00762A78">
            <w:r w:rsidRPr="001C2739">
              <w:t>Mental Health diagnoses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B74B079" w14:textId="77777777" w:rsidR="00762A78" w:rsidRPr="001C2739" w:rsidRDefault="00762A78">
            <w:r w:rsidRPr="001C2739">
              <w:t>Tracheostomy </w:t>
            </w:r>
          </w:p>
        </w:tc>
      </w:tr>
      <w:tr w:rsidR="00762A78" w:rsidRPr="001C2739" w14:paraId="6B415BA0"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7A94FD3" w14:textId="77777777" w:rsidR="00762A78" w:rsidRPr="001C2739" w:rsidRDefault="00762A78">
            <w:r w:rsidRPr="001C2739">
              <w:t>Dementia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56844F8" w14:textId="77777777" w:rsidR="00762A78" w:rsidRPr="001C2739" w:rsidRDefault="00762A78">
            <w:r w:rsidRPr="001C2739">
              <w:t>Motor Neurone Disease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C2AA679" w14:textId="77777777" w:rsidR="00762A78" w:rsidRPr="001C2739" w:rsidRDefault="00762A78">
            <w:r w:rsidRPr="001C2739">
              <w:t>Traumatic Brain Injury </w:t>
            </w:r>
          </w:p>
        </w:tc>
      </w:tr>
      <w:tr w:rsidR="00762A78" w:rsidRPr="001C2739" w14:paraId="5E5ADC10" w14:textId="77777777">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650A00" w14:textId="77777777" w:rsidR="00762A78" w:rsidRPr="001C2739" w:rsidRDefault="00762A78">
            <w:r w:rsidRPr="001C2739">
              <w:lastRenderedPageBreak/>
              <w:t>Developmental Language Disorder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03D8C06" w14:textId="77777777" w:rsidR="00762A78" w:rsidRPr="001C2739" w:rsidRDefault="00762A78">
            <w:r w:rsidRPr="001C2739">
              <w:t>Multiple Sclerosis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4319CD7" w14:textId="77777777" w:rsidR="00762A78" w:rsidRPr="001C2739" w:rsidRDefault="00762A78">
            <w:r w:rsidRPr="001C2739">
              <w:t>Voice Disorder </w:t>
            </w:r>
          </w:p>
        </w:tc>
      </w:tr>
    </w:tbl>
    <w:p w14:paraId="5EB94A98" w14:textId="77777777" w:rsidR="00762A78" w:rsidRDefault="00762A78" w:rsidP="00762A78"/>
    <w:p w14:paraId="056FA1EF" w14:textId="77777777" w:rsidR="00762A78" w:rsidRDefault="00762A78" w:rsidP="00762A78">
      <w:pPr>
        <w:rPr>
          <w:rFonts w:asciiTheme="majorHAnsi" w:eastAsiaTheme="majorEastAsia" w:hAnsiTheme="majorHAnsi" w:cstheme="majorBidi"/>
          <w:color w:val="2F5496" w:themeColor="accent1" w:themeShade="BF"/>
          <w:sz w:val="32"/>
          <w:szCs w:val="32"/>
        </w:rPr>
      </w:pPr>
      <w:r>
        <w:br w:type="page"/>
      </w:r>
    </w:p>
    <w:p w14:paraId="26A3F2D7" w14:textId="4F132A03" w:rsidR="00762A78" w:rsidRPr="00A43A05" w:rsidRDefault="00762A78" w:rsidP="00762A78">
      <w:pPr>
        <w:pStyle w:val="Heading2"/>
      </w:pPr>
      <w:bookmarkStart w:id="42" w:name="_Toc195196551"/>
      <w:bookmarkStart w:id="43" w:name="_Toc197420405"/>
      <w:r w:rsidRPr="00A43A05">
        <w:lastRenderedPageBreak/>
        <w:t>3.</w:t>
      </w:r>
      <w:r>
        <w:t>2</w:t>
      </w:r>
      <w:r w:rsidRPr="00A43A05">
        <w:t xml:space="preserve"> Domains of </w:t>
      </w:r>
      <w:r w:rsidR="00A64A4A">
        <w:t>c</w:t>
      </w:r>
      <w:r>
        <w:t xml:space="preserve">linical </w:t>
      </w:r>
      <w:r w:rsidR="00A64A4A">
        <w:t>p</w:t>
      </w:r>
      <w:r w:rsidRPr="00A43A05">
        <w:t>ractice</w:t>
      </w:r>
      <w:bookmarkEnd w:id="42"/>
      <w:bookmarkEnd w:id="43"/>
      <w:r w:rsidRPr="00A43A05">
        <w:t> </w:t>
      </w:r>
    </w:p>
    <w:p w14:paraId="7AA7F19A" w14:textId="77777777" w:rsidR="00762A78" w:rsidRPr="00407DF2" w:rsidRDefault="00762A78" w:rsidP="00762A78">
      <w:r>
        <w:t xml:space="preserve"> The</w:t>
      </w:r>
      <w:r w:rsidRPr="00407DF2">
        <w:t xml:space="preserve"> domains of clinical and professional practice form a vital component of the pre-registration speech and language therapy curriculum. These domains provide the essential foundation for learners to develop the capabilities required for safe, effective, and person-centred practice upon graduation.</w:t>
      </w:r>
    </w:p>
    <w:p w14:paraId="17EC9670" w14:textId="77777777" w:rsidR="00762A78" w:rsidRPr="00A43A05" w:rsidRDefault="00762A78" w:rsidP="00762A78">
      <w:r w:rsidRPr="00407DF2">
        <w:t>Grounded in the Newly Qualified Practitioner (NQP) competencies, these domains should be embedded throughout the programme. Higher Education Institutions (HEIs) are expected to integrate them in a way that enables learners to acquire the knowledge, behaviours, and professional judgement necessary to enter the workforce as confident, competent practitioners.</w:t>
      </w: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right w:w="57" w:type="dxa"/>
        </w:tblCellMar>
        <w:tblLook w:val="04A0" w:firstRow="1" w:lastRow="0" w:firstColumn="1" w:lastColumn="0" w:noHBand="0" w:noVBand="1"/>
      </w:tblPr>
      <w:tblGrid>
        <w:gridCol w:w="4245"/>
        <w:gridCol w:w="5528"/>
      </w:tblGrid>
      <w:tr w:rsidR="0026477B" w:rsidRPr="00A43A05" w14:paraId="0679AD91"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D9E2F3"/>
            <w:hideMark/>
          </w:tcPr>
          <w:p w14:paraId="6A53F2F8" w14:textId="77777777" w:rsidR="00762A78" w:rsidRPr="00A43A05" w:rsidRDefault="00762A78">
            <w:r w:rsidRPr="00A43A05">
              <w:rPr>
                <w:b/>
                <w:bCs/>
              </w:rPr>
              <w:t>Domains of clinical practice</w:t>
            </w:r>
            <w:r w:rsidRPr="00A43A05">
              <w:t> </w:t>
            </w:r>
          </w:p>
          <w:p w14:paraId="319CFB59" w14:textId="34016F63" w:rsidR="00762A78" w:rsidRPr="00A43A05" w:rsidRDefault="00762A78"/>
        </w:tc>
        <w:tc>
          <w:tcPr>
            <w:tcW w:w="5528" w:type="dxa"/>
            <w:tcBorders>
              <w:top w:val="single" w:sz="6" w:space="0" w:color="000000"/>
              <w:left w:val="single" w:sz="6" w:space="0" w:color="000000"/>
              <w:bottom w:val="single" w:sz="6" w:space="0" w:color="000000"/>
              <w:right w:val="single" w:sz="6" w:space="0" w:color="000000"/>
            </w:tcBorders>
            <w:shd w:val="clear" w:color="auto" w:fill="D9E2F3"/>
            <w:hideMark/>
          </w:tcPr>
          <w:p w14:paraId="6E634458" w14:textId="77777777" w:rsidR="00762A78" w:rsidRPr="00A43A05" w:rsidRDefault="00762A78">
            <w:r w:rsidRPr="00A43A05">
              <w:rPr>
                <w:b/>
                <w:bCs/>
              </w:rPr>
              <w:t>Curriculum Guidance</w:t>
            </w:r>
            <w:r w:rsidRPr="00A43A05">
              <w:t> </w:t>
            </w:r>
          </w:p>
          <w:p w14:paraId="7141DAF4" w14:textId="77777777" w:rsidR="00762A78" w:rsidRPr="00A43A05" w:rsidRDefault="00762A78">
            <w:r w:rsidRPr="00A43A05">
              <w:rPr>
                <w:b/>
                <w:bCs/>
                <w:i/>
                <w:iCs/>
              </w:rPr>
              <w:t xml:space="preserve">Through classroom-based training and/or collaboration with practice partners in the </w:t>
            </w:r>
            <w:r>
              <w:rPr>
                <w:b/>
                <w:bCs/>
                <w:i/>
                <w:iCs/>
              </w:rPr>
              <w:t>development</w:t>
            </w:r>
            <w:r w:rsidRPr="00A43A05">
              <w:rPr>
                <w:b/>
                <w:bCs/>
                <w:i/>
                <w:iCs/>
              </w:rPr>
              <w:t xml:space="preserve"> and delivery placement experiences, HEIs will facilitate learners’ opportunities to:</w:t>
            </w:r>
            <w:r w:rsidRPr="00A43A05">
              <w:t> </w:t>
            </w:r>
          </w:p>
        </w:tc>
      </w:tr>
      <w:tr w:rsidR="0026477B" w:rsidRPr="00A43A05" w14:paraId="2EBEBB1E"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5044EF3" w14:textId="77777777" w:rsidR="00762A78" w:rsidRPr="00A43A05" w:rsidRDefault="00762A78">
            <w:r w:rsidRPr="00A43A05">
              <w:rPr>
                <w:b/>
                <w:bCs/>
              </w:rPr>
              <w:t>Reasoning and decision-making</w:t>
            </w:r>
            <w:r w:rsidRPr="00A43A05">
              <w:t> </w:t>
            </w:r>
          </w:p>
          <w:p w14:paraId="11556765"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146C3A20" w14:textId="77777777" w:rsidR="00762A78" w:rsidRPr="00A43A05" w:rsidRDefault="00762A78" w:rsidP="0099693B">
            <w:pPr>
              <w:numPr>
                <w:ilvl w:val="0"/>
                <w:numId w:val="56"/>
              </w:numPr>
            </w:pPr>
            <w:r w:rsidRPr="00A43A05">
              <w:t>Develop and apply professional judgement, critical thinking, and reasoning skills throughout their studies and practice placements. </w:t>
            </w:r>
          </w:p>
          <w:p w14:paraId="16FEAC74" w14:textId="77777777" w:rsidR="00762A78" w:rsidRPr="00A43A05" w:rsidRDefault="00762A78" w:rsidP="0099693B">
            <w:pPr>
              <w:numPr>
                <w:ilvl w:val="0"/>
                <w:numId w:val="57"/>
              </w:numPr>
            </w:pPr>
            <w:r w:rsidRPr="00A43A05">
              <w:t>Learn how to make informed decisions that prioritise safe, effective, high-quality, and evidence-based care in the planning, implementation, and evaluation of holistic speech and language therapy assessments and interventions. </w:t>
            </w:r>
          </w:p>
          <w:p w14:paraId="432A94EA" w14:textId="77777777" w:rsidR="00762A78" w:rsidRDefault="00762A78" w:rsidP="0099693B">
            <w:pPr>
              <w:numPr>
                <w:ilvl w:val="0"/>
                <w:numId w:val="58"/>
              </w:numPr>
            </w:pPr>
            <w:r w:rsidRPr="00A43A05">
              <w:t>Recognise the importance of seeking guidance and support from supervisors or colleagues when faced with challenging decisions, understanding when and how to ask for help. </w:t>
            </w:r>
          </w:p>
          <w:p w14:paraId="539FA661" w14:textId="77777777" w:rsidR="00762A78" w:rsidRPr="00A43A05" w:rsidRDefault="00762A78" w:rsidP="0099693B">
            <w:pPr>
              <w:numPr>
                <w:ilvl w:val="0"/>
                <w:numId w:val="58"/>
              </w:numPr>
            </w:pPr>
            <w:r>
              <w:t>Evidence the ability to engage with contribute to shared decision-making with service users and other professionals.</w:t>
            </w:r>
          </w:p>
        </w:tc>
      </w:tr>
      <w:tr w:rsidR="0026477B" w:rsidRPr="00A43A05" w14:paraId="75F561E7"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61D4C9B" w14:textId="77777777" w:rsidR="00762A78" w:rsidRPr="00A43A05" w:rsidRDefault="00762A78">
            <w:r w:rsidRPr="00A43A05">
              <w:rPr>
                <w:b/>
                <w:bCs/>
              </w:rPr>
              <w:t>Communication with service users, families, carers and colleagues</w:t>
            </w:r>
            <w:r w:rsidRPr="00A43A05">
              <w:t> </w:t>
            </w:r>
          </w:p>
          <w:p w14:paraId="0D10C6EE" w14:textId="77777777" w:rsidR="00762A78" w:rsidRPr="00A43A05" w:rsidRDefault="00762A78">
            <w:r w:rsidRPr="00A43A05">
              <w:t> </w:t>
            </w:r>
          </w:p>
          <w:p w14:paraId="57AC4C29"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07F2A77A" w14:textId="77777777" w:rsidR="00762A78" w:rsidRDefault="00762A78" w:rsidP="0099693B">
            <w:pPr>
              <w:numPr>
                <w:ilvl w:val="0"/>
                <w:numId w:val="59"/>
              </w:numPr>
            </w:pPr>
            <w:r w:rsidRPr="00A43A05">
              <w:t>Communicate in ways which promote inclusion and access</w:t>
            </w:r>
            <w:r>
              <w:t>, utilising supportive communication strategies and alternative and augmentative communication (AAC) systems as appropriate.</w:t>
            </w:r>
            <w:r w:rsidRPr="00A43A05">
              <w:t> </w:t>
            </w:r>
          </w:p>
          <w:p w14:paraId="030F99FD" w14:textId="77777777" w:rsidR="00762A78" w:rsidRDefault="00762A78" w:rsidP="0099693B">
            <w:pPr>
              <w:numPr>
                <w:ilvl w:val="0"/>
                <w:numId w:val="59"/>
              </w:numPr>
            </w:pPr>
            <w:r w:rsidRPr="00A43A05">
              <w:t xml:space="preserve">Demonstrate respect and sensitivity towards the backgrounds and needs of </w:t>
            </w:r>
            <w:r>
              <w:t>all individuals that</w:t>
            </w:r>
            <w:r w:rsidRPr="00A43A05">
              <w:t xml:space="preserve"> SLTs engage with</w:t>
            </w:r>
            <w:r>
              <w:t xml:space="preserve"> - </w:t>
            </w:r>
            <w:r w:rsidRPr="00A43A05">
              <w:t xml:space="preserve">particularly those from </w:t>
            </w:r>
            <w:r w:rsidRPr="00A43A05">
              <w:lastRenderedPageBreak/>
              <w:t>diverse, marginalised, or disadvantaged backgrounds. </w:t>
            </w:r>
          </w:p>
          <w:p w14:paraId="089327E6" w14:textId="77777777" w:rsidR="00762A78" w:rsidRPr="00A43A05" w:rsidRDefault="00762A78" w:rsidP="0099693B">
            <w:pPr>
              <w:numPr>
                <w:ilvl w:val="0"/>
                <w:numId w:val="59"/>
              </w:numPr>
            </w:pPr>
            <w:r>
              <w:t>Discuss</w:t>
            </w:r>
            <w:r w:rsidRPr="00A43A05">
              <w:t xml:space="preserve"> assessment </w:t>
            </w:r>
            <w:r>
              <w:t>findings</w:t>
            </w:r>
            <w:r w:rsidRPr="00A43A05">
              <w:t xml:space="preserve">, </w:t>
            </w:r>
            <w:r>
              <w:t>collaborate on potential management plans and reflect on</w:t>
            </w:r>
            <w:r w:rsidRPr="00A43A05">
              <w:t xml:space="preserve"> progress with service users, their families, or carers in a </w:t>
            </w:r>
            <w:r>
              <w:t>manner</w:t>
            </w:r>
            <w:r w:rsidRPr="00A43A05">
              <w:t xml:space="preserve"> that aligns with their level of understanding, culture, and preferred communication style, considerate of any </w:t>
            </w:r>
            <w:r>
              <w:t>differences</w:t>
            </w:r>
            <w:r w:rsidRPr="00A43A05">
              <w:t>, limitations, or restrictions. </w:t>
            </w:r>
          </w:p>
          <w:p w14:paraId="106E63BF" w14:textId="77777777" w:rsidR="00762A78" w:rsidRPr="00A43A05" w:rsidRDefault="00762A78">
            <w:pPr>
              <w:ind w:left="360"/>
            </w:pPr>
          </w:p>
        </w:tc>
      </w:tr>
      <w:tr w:rsidR="0026477B" w:rsidRPr="00A43A05" w14:paraId="19AAD560"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1B9CF78" w14:textId="77777777" w:rsidR="00762A78" w:rsidRPr="00A43A05" w:rsidRDefault="00762A78">
            <w:r w:rsidRPr="00A43A05">
              <w:rPr>
                <w:b/>
                <w:bCs/>
              </w:rPr>
              <w:t>Autonomy and accountability</w:t>
            </w:r>
            <w:r w:rsidRPr="00A43A05">
              <w:t> </w:t>
            </w:r>
          </w:p>
          <w:p w14:paraId="30590A15"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62E49926" w14:textId="77777777" w:rsidR="00762A78" w:rsidRPr="00A43A05" w:rsidRDefault="00762A78" w:rsidP="0099693B">
            <w:pPr>
              <w:numPr>
                <w:ilvl w:val="0"/>
                <w:numId w:val="60"/>
              </w:numPr>
            </w:pPr>
            <w:r w:rsidRPr="00A43A05">
              <w:t xml:space="preserve">Evidence working within the professional boundaries of the </w:t>
            </w:r>
            <w:r>
              <w:t>SLT</w:t>
            </w:r>
            <w:r w:rsidRPr="00A43A05">
              <w:t xml:space="preserve"> role in the context of each setting, taking responsibility for their decisions, actions, and well-being.  </w:t>
            </w:r>
          </w:p>
          <w:p w14:paraId="76D4389E" w14:textId="77777777" w:rsidR="00762A78" w:rsidRDefault="00762A78" w:rsidP="0099693B">
            <w:pPr>
              <w:numPr>
                <w:ilvl w:val="0"/>
                <w:numId w:val="60"/>
              </w:numPr>
            </w:pPr>
            <w:r w:rsidRPr="00A43A05">
              <w:t xml:space="preserve">Seek support from supervisors or colleagues (both within </w:t>
            </w:r>
            <w:r>
              <w:t>speech and language therapy</w:t>
            </w:r>
            <w:r w:rsidRPr="00A43A05">
              <w:t xml:space="preserve"> and </w:t>
            </w:r>
            <w:r>
              <w:t xml:space="preserve">wider </w:t>
            </w:r>
            <w:r w:rsidRPr="00A43A05">
              <w:t>interprofessional</w:t>
            </w:r>
            <w:r>
              <w:t xml:space="preserve"> teams/networks</w:t>
            </w:r>
            <w:r w:rsidRPr="00A43A05">
              <w:t>) when needed</w:t>
            </w:r>
            <w:r>
              <w:t>.</w:t>
            </w:r>
          </w:p>
          <w:p w14:paraId="468D023B" w14:textId="77777777" w:rsidR="00762A78" w:rsidRPr="00A43A05" w:rsidRDefault="00762A78" w:rsidP="0099693B">
            <w:pPr>
              <w:numPr>
                <w:ilvl w:val="0"/>
                <w:numId w:val="60"/>
              </w:numPr>
            </w:pPr>
            <w:r>
              <w:t>Make</w:t>
            </w:r>
            <w:r w:rsidRPr="00A43A05">
              <w:t xml:space="preserve"> referrals to other professionals. </w:t>
            </w:r>
          </w:p>
          <w:p w14:paraId="2A9B5C70" w14:textId="77777777" w:rsidR="00762A78" w:rsidRPr="00A43A05" w:rsidRDefault="00762A78" w:rsidP="0099693B">
            <w:pPr>
              <w:numPr>
                <w:ilvl w:val="0"/>
                <w:numId w:val="60"/>
              </w:numPr>
            </w:pPr>
            <w:r w:rsidRPr="00A43A05">
              <w:t>Manage professional boundaries. </w:t>
            </w:r>
          </w:p>
          <w:p w14:paraId="253607B6" w14:textId="77777777" w:rsidR="00762A78" w:rsidRPr="00A43A05" w:rsidRDefault="00762A78" w:rsidP="0099693B">
            <w:pPr>
              <w:numPr>
                <w:ilvl w:val="0"/>
                <w:numId w:val="60"/>
              </w:numPr>
            </w:pPr>
            <w:r>
              <w:t>Take ownership in s</w:t>
            </w:r>
            <w:r w:rsidRPr="00A43A05">
              <w:t>upport</w:t>
            </w:r>
            <w:r>
              <w:t>ing</w:t>
            </w:r>
            <w:r w:rsidRPr="00A43A05">
              <w:t xml:space="preserve"> the well-being of themselves and others to ensure safe and effective practice. </w:t>
            </w:r>
          </w:p>
          <w:p w14:paraId="24D28E7C" w14:textId="77777777" w:rsidR="00762A78" w:rsidRPr="00A43A05" w:rsidRDefault="00762A78" w:rsidP="0099693B">
            <w:pPr>
              <w:numPr>
                <w:ilvl w:val="0"/>
                <w:numId w:val="60"/>
              </w:numPr>
            </w:pPr>
            <w:r w:rsidRPr="00A43A05">
              <w:t>Evidence familiarity with key resources, including regulatory, legal, and ethical frameworks, as well as professional body guidance</w:t>
            </w:r>
            <w:r>
              <w:t>, particularly in relation to informed consent, mental capacity, and ‘at risk’ EDS and communication decisions.</w:t>
            </w:r>
            <w:r w:rsidRPr="00A43A05">
              <w:t> </w:t>
            </w:r>
          </w:p>
          <w:p w14:paraId="3CB0FBD2" w14:textId="77777777" w:rsidR="00762A78" w:rsidRPr="00A43A05" w:rsidRDefault="00762A78" w:rsidP="0099693B">
            <w:pPr>
              <w:numPr>
                <w:ilvl w:val="0"/>
                <w:numId w:val="60"/>
              </w:numPr>
            </w:pPr>
            <w:r w:rsidRPr="00A43A05">
              <w:t>Engage with examples of responsibilities such as making safeguarding decisions, maintaining confidentiality, and producing timely, consistent documentation. </w:t>
            </w:r>
          </w:p>
          <w:p w14:paraId="6CB979C8" w14:textId="77777777" w:rsidR="00762A78" w:rsidRPr="00A43A05" w:rsidRDefault="00762A78" w:rsidP="0099693B">
            <w:pPr>
              <w:numPr>
                <w:ilvl w:val="0"/>
                <w:numId w:val="60"/>
              </w:numPr>
            </w:pPr>
            <w:r w:rsidRPr="00A43A05">
              <w:t xml:space="preserve">Begin to assess the clinical risk associated with any speech and language therapy </w:t>
            </w:r>
            <w:r>
              <w:t>input</w:t>
            </w:r>
            <w:r w:rsidRPr="00A43A05">
              <w:t xml:space="preserve"> and, with support, </w:t>
            </w:r>
            <w:r>
              <w:t>consider</w:t>
            </w:r>
            <w:r w:rsidRPr="00A43A05">
              <w:t xml:space="preserve"> appropriate mitigating action</w:t>
            </w:r>
            <w:r>
              <w:t>s</w:t>
            </w:r>
            <w:r w:rsidRPr="00A43A05">
              <w:t>. </w:t>
            </w:r>
          </w:p>
          <w:p w14:paraId="2281ED56" w14:textId="77777777" w:rsidR="00762A78" w:rsidRDefault="00762A78" w:rsidP="0099693B">
            <w:pPr>
              <w:numPr>
                <w:ilvl w:val="0"/>
                <w:numId w:val="60"/>
              </w:numPr>
            </w:pPr>
            <w:r w:rsidRPr="00A43A05">
              <w:t>Evidence ability to manage and prioritise own caseload. </w:t>
            </w:r>
          </w:p>
          <w:p w14:paraId="6D7AC37F" w14:textId="77777777" w:rsidR="00762A78" w:rsidRPr="00A43A05" w:rsidRDefault="00762A78" w:rsidP="0099693B">
            <w:pPr>
              <w:numPr>
                <w:ilvl w:val="0"/>
                <w:numId w:val="60"/>
              </w:numPr>
            </w:pPr>
            <w:r>
              <w:lastRenderedPageBreak/>
              <w:t>U</w:t>
            </w:r>
            <w:r w:rsidRPr="00A43A05">
              <w:t>nderstand how to raise concerns about others' practice appropriately. </w:t>
            </w:r>
          </w:p>
        </w:tc>
      </w:tr>
      <w:tr w:rsidR="0026477B" w:rsidRPr="00A43A05" w14:paraId="6D64B332"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9C88F7A" w14:textId="77777777" w:rsidR="00762A78" w:rsidRPr="00A43A05" w:rsidRDefault="00762A78">
            <w:r w:rsidRPr="00A43A05">
              <w:rPr>
                <w:b/>
                <w:bCs/>
              </w:rPr>
              <w:t>Promoting the profession </w:t>
            </w:r>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2E351FBA" w14:textId="77777777" w:rsidR="00762A78" w:rsidRDefault="00762A78" w:rsidP="0099693B">
            <w:pPr>
              <w:numPr>
                <w:ilvl w:val="0"/>
                <w:numId w:val="61"/>
              </w:numPr>
            </w:pPr>
            <w:r w:rsidRPr="00A43A05">
              <w:t>Demonstrate awareness of how speech and language therapy positively affect lives and well-being across different settings, including healthcare, education, and community environments, and at various career levels. </w:t>
            </w:r>
          </w:p>
          <w:p w14:paraId="470EE555" w14:textId="77777777" w:rsidR="00762A78" w:rsidRPr="00A43A05" w:rsidRDefault="00762A78" w:rsidP="0099693B">
            <w:pPr>
              <w:numPr>
                <w:ilvl w:val="0"/>
                <w:numId w:val="61"/>
              </w:numPr>
            </w:pPr>
            <w:r w:rsidRPr="00A43A05">
              <w:t xml:space="preserve">Learn how to effectively communicate the profession's value to a wide range of audiences, including service users, families, carers, and </w:t>
            </w:r>
            <w:proofErr w:type="spellStart"/>
            <w:r>
              <w:t>interprofessionals</w:t>
            </w:r>
            <w:proofErr w:type="spellEnd"/>
            <w:r w:rsidRPr="00A43A05">
              <w:t>. </w:t>
            </w:r>
          </w:p>
          <w:p w14:paraId="2180C1A7" w14:textId="77777777" w:rsidR="00762A78" w:rsidRDefault="00762A78" w:rsidP="0099693B">
            <w:pPr>
              <w:numPr>
                <w:ilvl w:val="0"/>
                <w:numId w:val="61"/>
              </w:numPr>
            </w:pPr>
            <w:r>
              <w:t>Contribute</w:t>
            </w:r>
            <w:r w:rsidRPr="00A43A05">
              <w:t xml:space="preserve"> to health promotion and the prevention, re-</w:t>
            </w:r>
            <w:proofErr w:type="spellStart"/>
            <w:r w:rsidRPr="00A43A05">
              <w:t>ablement</w:t>
            </w:r>
            <w:proofErr w:type="spellEnd"/>
            <w:r w:rsidRPr="00A43A05">
              <w:t xml:space="preserve"> and self-management of speech, language,</w:t>
            </w:r>
            <w:r>
              <w:t xml:space="preserve"> communication, eating, drinking</w:t>
            </w:r>
            <w:r w:rsidRPr="00A43A05">
              <w:t xml:space="preserve"> and swallowing difficulties.  </w:t>
            </w:r>
          </w:p>
          <w:p w14:paraId="6391D9FD" w14:textId="77777777" w:rsidR="00762A78" w:rsidRPr="00A43A05" w:rsidRDefault="00762A78" w:rsidP="0099693B">
            <w:pPr>
              <w:numPr>
                <w:ilvl w:val="0"/>
                <w:numId w:val="61"/>
              </w:numPr>
            </w:pPr>
            <w:r w:rsidRPr="00A43A05">
              <w:t>Develop a comprehensive understanding of how to promote speech and language therapy, highlighting its impact and significance in supporting the profession’s growth and sustainability. </w:t>
            </w:r>
          </w:p>
        </w:tc>
      </w:tr>
      <w:tr w:rsidR="0026477B" w:rsidRPr="00A43A05" w14:paraId="65DD3FE2"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B3B81C5" w14:textId="77777777" w:rsidR="00762A78" w:rsidRPr="00A43A05" w:rsidRDefault="00762A78">
            <w:r w:rsidRPr="00A43A05">
              <w:rPr>
                <w:b/>
                <w:bCs/>
              </w:rPr>
              <w:t>Work readiness knowledge and skills</w:t>
            </w:r>
            <w:r w:rsidRPr="00A43A05">
              <w:t> </w:t>
            </w:r>
          </w:p>
          <w:p w14:paraId="44EE3F1A"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02F7AECD" w14:textId="77777777" w:rsidR="00762A78" w:rsidRPr="00A43A05" w:rsidRDefault="00762A78" w:rsidP="0099693B">
            <w:pPr>
              <w:numPr>
                <w:ilvl w:val="0"/>
                <w:numId w:val="62"/>
              </w:numPr>
            </w:pPr>
            <w:r w:rsidRPr="00A43A05">
              <w:t>Self-management: Take responsibility for their learning, actions, and personal development. </w:t>
            </w:r>
          </w:p>
          <w:p w14:paraId="72F9A697" w14:textId="77777777" w:rsidR="00762A78" w:rsidRPr="00A43A05" w:rsidRDefault="00762A78" w:rsidP="0099693B">
            <w:pPr>
              <w:numPr>
                <w:ilvl w:val="0"/>
                <w:numId w:val="62"/>
              </w:numPr>
            </w:pPr>
            <w:r w:rsidRPr="00A43A05">
              <w:t>Problem-solving: Apply critical thinking to overcome challenges effectively. </w:t>
            </w:r>
          </w:p>
          <w:p w14:paraId="6E78F0EE" w14:textId="77777777" w:rsidR="00762A78" w:rsidRPr="00A43A05" w:rsidRDefault="00762A78" w:rsidP="0099693B">
            <w:pPr>
              <w:numPr>
                <w:ilvl w:val="0"/>
                <w:numId w:val="62"/>
              </w:numPr>
            </w:pPr>
            <w:r w:rsidRPr="00A43A05">
              <w:t>Adaptability: Adjust to new situations, roles, and environments during studies and placements. </w:t>
            </w:r>
          </w:p>
          <w:p w14:paraId="30BFD7D1" w14:textId="77777777" w:rsidR="00762A78" w:rsidRPr="00A43A05" w:rsidRDefault="00762A78" w:rsidP="0099693B">
            <w:pPr>
              <w:numPr>
                <w:ilvl w:val="0"/>
                <w:numId w:val="62"/>
              </w:numPr>
            </w:pPr>
            <w:r w:rsidRPr="00A43A05">
              <w:t>Time management: Prioritise tasks and meet deadlines effectively. </w:t>
            </w:r>
          </w:p>
          <w:p w14:paraId="4AC7426B" w14:textId="77777777" w:rsidR="00762A78" w:rsidRPr="00A43A05" w:rsidRDefault="00762A78" w:rsidP="0099693B">
            <w:pPr>
              <w:numPr>
                <w:ilvl w:val="0"/>
                <w:numId w:val="62"/>
              </w:numPr>
            </w:pPr>
            <w:r w:rsidRPr="00A43A05">
              <w:t>Resilience: Manage challenges, setbacks, and pressures constructively. </w:t>
            </w:r>
          </w:p>
          <w:p w14:paraId="594BE660" w14:textId="77777777" w:rsidR="00762A78" w:rsidRPr="00A43A05" w:rsidRDefault="00762A78" w:rsidP="0099693B">
            <w:pPr>
              <w:numPr>
                <w:ilvl w:val="0"/>
                <w:numId w:val="62"/>
              </w:numPr>
            </w:pPr>
            <w:r w:rsidRPr="00A43A05">
              <w:t>Digital literacy: Develop confidence in using digital tools and technologies relevant to speech and language therapy. </w:t>
            </w:r>
          </w:p>
          <w:p w14:paraId="4FD1D31B" w14:textId="77777777" w:rsidR="00762A78" w:rsidRDefault="00762A78" w:rsidP="0099693B">
            <w:pPr>
              <w:numPr>
                <w:ilvl w:val="0"/>
                <w:numId w:val="62"/>
              </w:numPr>
            </w:pPr>
            <w:r w:rsidRPr="00A43A05">
              <w:t>Interpersonal skills: Build strong, professional relationships with service users, carers, and colleagues both within SLT and interprofessional. </w:t>
            </w:r>
          </w:p>
          <w:p w14:paraId="3F9C91AB" w14:textId="77777777" w:rsidR="00762A78" w:rsidRPr="00A43A05" w:rsidRDefault="00762A78" w:rsidP="0099693B">
            <w:pPr>
              <w:numPr>
                <w:ilvl w:val="0"/>
                <w:numId w:val="62"/>
              </w:numPr>
            </w:pPr>
            <w:r w:rsidRPr="00A43A05">
              <w:lastRenderedPageBreak/>
              <w:t>Teamwork: Demonstrate understanding and val</w:t>
            </w:r>
            <w:r>
              <w:t>ue of</w:t>
            </w:r>
            <w:r w:rsidRPr="00A43A05">
              <w:t xml:space="preserve"> the contributions of different roles, including speech and language therapy assistants and professionals from other disciplines. </w:t>
            </w:r>
          </w:p>
          <w:p w14:paraId="748D254F" w14:textId="77777777" w:rsidR="00762A78" w:rsidRPr="00A43A05" w:rsidRDefault="00762A78" w:rsidP="0099693B">
            <w:pPr>
              <w:numPr>
                <w:ilvl w:val="0"/>
                <w:numId w:val="63"/>
              </w:numPr>
            </w:pPr>
            <w:r w:rsidRPr="004154AF">
              <w:t>Strategic awareness</w:t>
            </w:r>
            <w:r w:rsidRPr="000E27CA">
              <w:t>: Evidence</w:t>
            </w:r>
            <w:r w:rsidRPr="00A43A05">
              <w:t xml:space="preserve"> understanding of the broader context of speech and language therapy, including its role in healthcare and education systems. </w:t>
            </w:r>
          </w:p>
        </w:tc>
      </w:tr>
      <w:tr w:rsidR="0026477B" w:rsidRPr="00A43A05" w14:paraId="442A219A"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3E8A86D" w14:textId="77777777" w:rsidR="00762A78" w:rsidRPr="00A43A05" w:rsidRDefault="00762A78">
            <w:r w:rsidRPr="00A43A05">
              <w:rPr>
                <w:b/>
                <w:bCs/>
              </w:rPr>
              <w:t>Specialist knowledge and skills</w:t>
            </w:r>
            <w:r w:rsidRPr="00A43A05">
              <w:t> </w:t>
            </w:r>
          </w:p>
          <w:p w14:paraId="3F9249F2"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6A2B956A" w14:textId="77777777" w:rsidR="00762A78" w:rsidRDefault="00762A78" w:rsidP="0099693B">
            <w:pPr>
              <w:numPr>
                <w:ilvl w:val="0"/>
                <w:numId w:val="64"/>
              </w:numPr>
            </w:pPr>
            <w:r w:rsidRPr="00A43A05">
              <w:t xml:space="preserve">Develop an awareness of a range of </w:t>
            </w:r>
            <w:r>
              <w:t>areas related to the practice of SLTs.</w:t>
            </w:r>
          </w:p>
          <w:p w14:paraId="250FEECF" w14:textId="77777777" w:rsidR="00762A78" w:rsidRDefault="00762A78" w:rsidP="0099693B">
            <w:pPr>
              <w:numPr>
                <w:ilvl w:val="0"/>
                <w:numId w:val="64"/>
              </w:numPr>
            </w:pPr>
            <w:r>
              <w:t xml:space="preserve">Demonstrate an ability to work alongside a service user and relevant </w:t>
            </w:r>
            <w:proofErr w:type="spellStart"/>
            <w:r>
              <w:t>interprofessionals</w:t>
            </w:r>
            <w:proofErr w:type="spellEnd"/>
            <w:r>
              <w:t xml:space="preserve"> to identify needs and set collaborative plans.</w:t>
            </w:r>
          </w:p>
          <w:p w14:paraId="6F4932DE" w14:textId="77777777" w:rsidR="00762A78" w:rsidRPr="00A43A05" w:rsidRDefault="00762A78" w:rsidP="0099693B">
            <w:pPr>
              <w:numPr>
                <w:ilvl w:val="0"/>
                <w:numId w:val="64"/>
              </w:numPr>
            </w:pPr>
            <w:r>
              <w:t xml:space="preserve">Recognise scope of practice and take </w:t>
            </w:r>
            <w:r w:rsidRPr="00A43A05">
              <w:t>responsibility for identifying their own learning needs and reflect on areas for further development.  </w:t>
            </w:r>
          </w:p>
          <w:p w14:paraId="66316D46" w14:textId="77777777" w:rsidR="00762A78" w:rsidRPr="00A43A05" w:rsidRDefault="00762A78" w:rsidP="0099693B">
            <w:pPr>
              <w:numPr>
                <w:ilvl w:val="0"/>
                <w:numId w:val="64"/>
              </w:numPr>
            </w:pPr>
            <w:r w:rsidRPr="00A43A05">
              <w:t>Develop essential research skills to support evidence-based practice, including the knowledge and tools to critically evaluate, interpret, and apply research findings in their clinical work. </w:t>
            </w:r>
          </w:p>
          <w:p w14:paraId="113A1596" w14:textId="77777777" w:rsidR="00762A78" w:rsidRDefault="00762A78" w:rsidP="0099693B">
            <w:pPr>
              <w:numPr>
                <w:ilvl w:val="0"/>
                <w:numId w:val="64"/>
              </w:numPr>
            </w:pPr>
            <w:r w:rsidRPr="00A43A05">
              <w:t>Evidence engagement with current research and demonstrate the ability to integrate evidence into clinical decision-making and ongoing professional development. </w:t>
            </w:r>
          </w:p>
          <w:p w14:paraId="7C5AD855" w14:textId="77777777" w:rsidR="00762A78" w:rsidRPr="00A43A05" w:rsidRDefault="00762A78" w:rsidP="0099693B">
            <w:pPr>
              <w:numPr>
                <w:ilvl w:val="0"/>
                <w:numId w:val="64"/>
              </w:numPr>
            </w:pPr>
            <w:r w:rsidRPr="00A43A05">
              <w:t>Critically apply evidence in practice. </w:t>
            </w:r>
          </w:p>
        </w:tc>
      </w:tr>
      <w:tr w:rsidR="0026477B" w:rsidRPr="00A43A05" w14:paraId="5F756924"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1F57DA01" w14:textId="77777777" w:rsidR="00762A78" w:rsidRPr="00A43A05" w:rsidRDefault="00762A78">
            <w:r w:rsidRPr="00A43A05">
              <w:rPr>
                <w:b/>
                <w:bCs/>
              </w:rPr>
              <w:t>Managing and recording complexity</w:t>
            </w:r>
            <w:r w:rsidRPr="00A43A05">
              <w:t> </w:t>
            </w:r>
          </w:p>
          <w:p w14:paraId="08530FAA"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758CA22E" w14:textId="77777777" w:rsidR="00762A78" w:rsidRPr="00A43A05" w:rsidRDefault="00762A78" w:rsidP="0099693B">
            <w:pPr>
              <w:numPr>
                <w:ilvl w:val="0"/>
                <w:numId w:val="65"/>
              </w:numPr>
            </w:pPr>
            <w:r w:rsidRPr="00A43A05">
              <w:t xml:space="preserve">Develop the ability to manage and record information effectively, including how to approach multifaceted cases with a structured and analytical mindset, ensuring clarity and accuracy in </w:t>
            </w:r>
            <w:r>
              <w:t xml:space="preserve">the </w:t>
            </w:r>
            <w:r w:rsidRPr="00A43A05">
              <w:t>decision-making processes. </w:t>
            </w:r>
          </w:p>
          <w:p w14:paraId="2F36AC1C" w14:textId="77777777" w:rsidR="00762A78" w:rsidRPr="00A43A05" w:rsidRDefault="00762A78" w:rsidP="0099693B">
            <w:pPr>
              <w:numPr>
                <w:ilvl w:val="0"/>
                <w:numId w:val="65"/>
              </w:numPr>
            </w:pPr>
            <w:r w:rsidRPr="00A43A05">
              <w:t>Recognise the importance of ensuring documentation is timely, professional, and compliant with relevant legal, ethical, and organisational guidelines. </w:t>
            </w:r>
          </w:p>
        </w:tc>
      </w:tr>
      <w:tr w:rsidR="0026477B" w:rsidRPr="00A43A05" w14:paraId="03D3BBB4"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64F620B" w14:textId="77777777" w:rsidR="00762A78" w:rsidRPr="00A43A05" w:rsidRDefault="00762A78">
            <w:r w:rsidRPr="00A43A05">
              <w:rPr>
                <w:b/>
                <w:bCs/>
              </w:rPr>
              <w:t>Continuous learning and development of yourself and others</w:t>
            </w:r>
            <w:r w:rsidRPr="00A43A05">
              <w:t> </w:t>
            </w:r>
          </w:p>
          <w:p w14:paraId="1E712347" w14:textId="77777777" w:rsidR="00762A78" w:rsidRPr="00A43A05" w:rsidRDefault="00762A78">
            <w:r w:rsidRPr="00A43A05">
              <w:lastRenderedPageBreak/>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7563281E" w14:textId="77777777" w:rsidR="00762A78" w:rsidRDefault="00762A78" w:rsidP="0099693B">
            <w:pPr>
              <w:numPr>
                <w:ilvl w:val="0"/>
                <w:numId w:val="66"/>
              </w:numPr>
            </w:pPr>
            <w:r w:rsidRPr="00A43A05">
              <w:lastRenderedPageBreak/>
              <w:t xml:space="preserve">Develop the skills and attitudes required for ongoing professional development, including </w:t>
            </w:r>
            <w:r w:rsidRPr="00A43A05">
              <w:lastRenderedPageBreak/>
              <w:t>evidencing awareness of the importance of continuous learning and self-reflection. </w:t>
            </w:r>
          </w:p>
          <w:p w14:paraId="7806F21E" w14:textId="77777777" w:rsidR="00762A78" w:rsidRPr="00A43A05" w:rsidRDefault="00762A78" w:rsidP="0099693B">
            <w:pPr>
              <w:numPr>
                <w:ilvl w:val="0"/>
                <w:numId w:val="66"/>
              </w:numPr>
            </w:pPr>
            <w:r w:rsidRPr="00A43A05">
              <w:t>Evidence managing well-being, both for themselves and others, to maintain safe and effective practice. </w:t>
            </w:r>
          </w:p>
          <w:p w14:paraId="3D836667" w14:textId="77777777" w:rsidR="00762A78" w:rsidRPr="00A43A05" w:rsidRDefault="00762A78" w:rsidP="0099693B">
            <w:pPr>
              <w:numPr>
                <w:ilvl w:val="0"/>
                <w:numId w:val="66"/>
              </w:numPr>
            </w:pPr>
            <w:r w:rsidRPr="00A43A05">
              <w:t>Apply new knowledge and evidence-based practices to their clinical work, ensuring they stay up to date with developments in the profession. </w:t>
            </w:r>
          </w:p>
          <w:p w14:paraId="74FC60D8" w14:textId="77777777" w:rsidR="00762A78" w:rsidRPr="00A43A05" w:rsidRDefault="00762A78" w:rsidP="0099693B">
            <w:pPr>
              <w:numPr>
                <w:ilvl w:val="0"/>
                <w:numId w:val="66"/>
              </w:numPr>
            </w:pPr>
            <w:r w:rsidRPr="00A43A05">
              <w:t>Engage in supervision, peer learning, and reflective practice to foster personal and professional growth. </w:t>
            </w:r>
          </w:p>
          <w:p w14:paraId="111C4019" w14:textId="77777777" w:rsidR="00762A78" w:rsidRPr="00A43A05" w:rsidRDefault="00762A78" w:rsidP="0099693B">
            <w:pPr>
              <w:numPr>
                <w:ilvl w:val="0"/>
                <w:numId w:val="66"/>
              </w:numPr>
            </w:pPr>
            <w:r w:rsidRPr="00A43A05">
              <w:t>Develop the ability to guide and support the learning and development of others as part of their professional development.</w:t>
            </w:r>
          </w:p>
        </w:tc>
      </w:tr>
      <w:tr w:rsidR="0026477B" w:rsidRPr="00A43A05" w14:paraId="7901341F"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CD499D7" w14:textId="77777777" w:rsidR="00762A78" w:rsidRPr="00A43A05" w:rsidRDefault="00762A78">
            <w:r w:rsidRPr="00A43A05">
              <w:rPr>
                <w:b/>
                <w:bCs/>
              </w:rPr>
              <w:t>Working in partnership with service users to improve service delivery</w:t>
            </w:r>
            <w:r w:rsidRPr="00A43A05">
              <w:t> </w:t>
            </w:r>
          </w:p>
          <w:p w14:paraId="331EC8D0"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3F0AA935" w14:textId="77777777" w:rsidR="00762A78" w:rsidRPr="00A43A05" w:rsidRDefault="00762A78" w:rsidP="0099693B">
            <w:pPr>
              <w:numPr>
                <w:ilvl w:val="0"/>
                <w:numId w:val="67"/>
              </w:numPr>
            </w:pPr>
            <w:r w:rsidRPr="00A43A05">
              <w:t>Evidence understanding of the importance of actively engaging service users in developing services and contributing to the evidence base. </w:t>
            </w:r>
          </w:p>
          <w:p w14:paraId="170A2156" w14:textId="77777777" w:rsidR="00762A78" w:rsidRPr="00A43A05" w:rsidRDefault="00762A78" w:rsidP="0099693B">
            <w:pPr>
              <w:numPr>
                <w:ilvl w:val="0"/>
                <w:numId w:val="68"/>
              </w:numPr>
            </w:pPr>
            <w:r w:rsidRPr="00A43A05">
              <w:t>Support service user involvement in research conducted within their service, department, or organisation, fostering a collaborative approach to improving service delivery. </w:t>
            </w:r>
          </w:p>
          <w:p w14:paraId="7AAD93DD" w14:textId="77777777" w:rsidR="00762A78" w:rsidRPr="00A43A05" w:rsidRDefault="00762A78" w:rsidP="0099693B">
            <w:pPr>
              <w:numPr>
                <w:ilvl w:val="0"/>
                <w:numId w:val="69"/>
              </w:numPr>
            </w:pPr>
            <w:r w:rsidRPr="00A43A05">
              <w:t>Begin to use evidence-based outcome measures, demonstrating training in how to apply these tools in practice. </w:t>
            </w:r>
          </w:p>
          <w:p w14:paraId="700E8B41" w14:textId="77777777" w:rsidR="00762A78" w:rsidRPr="00A43A05" w:rsidRDefault="00762A78" w:rsidP="0099693B">
            <w:pPr>
              <w:numPr>
                <w:ilvl w:val="0"/>
                <w:numId w:val="70"/>
              </w:numPr>
            </w:pPr>
            <w:r w:rsidRPr="00A43A05">
              <w:t>Demonstrate awareness of how to identify research opportunities for service users within their local area, encouraging active participation in service development and evaluation. </w:t>
            </w:r>
          </w:p>
        </w:tc>
      </w:tr>
      <w:tr w:rsidR="0026477B" w:rsidRPr="00A43A05" w14:paraId="6ECF94EA" w14:textId="77777777" w:rsidTr="0026477B">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E397EAD" w14:textId="77777777" w:rsidR="00762A78" w:rsidRPr="00A43A05" w:rsidRDefault="00762A78">
            <w:r w:rsidRPr="00A43A05">
              <w:rPr>
                <w:b/>
                <w:bCs/>
              </w:rPr>
              <w:t>Contributing to changes at work</w:t>
            </w:r>
            <w:r w:rsidRPr="00A43A05">
              <w:t> </w:t>
            </w:r>
          </w:p>
          <w:p w14:paraId="3EBD7E9A" w14:textId="77777777" w:rsidR="00762A78" w:rsidRPr="00A43A05" w:rsidRDefault="00762A78">
            <w:r w:rsidRPr="00A43A05">
              <w:t> </w:t>
            </w:r>
          </w:p>
        </w:tc>
        <w:tc>
          <w:tcPr>
            <w:tcW w:w="5528" w:type="dxa"/>
            <w:tcBorders>
              <w:top w:val="single" w:sz="6" w:space="0" w:color="000000"/>
              <w:left w:val="single" w:sz="6" w:space="0" w:color="000000"/>
              <w:bottom w:val="single" w:sz="6" w:space="0" w:color="000000"/>
              <w:right w:val="single" w:sz="6" w:space="0" w:color="000000"/>
            </w:tcBorders>
            <w:shd w:val="clear" w:color="auto" w:fill="auto"/>
            <w:hideMark/>
          </w:tcPr>
          <w:p w14:paraId="06AEA5ED" w14:textId="77777777" w:rsidR="00762A78" w:rsidRPr="00A43A05" w:rsidRDefault="00762A78" w:rsidP="0099693B">
            <w:pPr>
              <w:numPr>
                <w:ilvl w:val="0"/>
                <w:numId w:val="71"/>
              </w:numPr>
            </w:pPr>
            <w:r w:rsidRPr="00A43A05">
              <w:t>Contribute to meaningful change in service delivery through evidence-based practice and active involvement in service and/or workforce development innovations. </w:t>
            </w:r>
          </w:p>
          <w:p w14:paraId="75202F9D" w14:textId="77777777" w:rsidR="00762A78" w:rsidRPr="00A43A05" w:rsidRDefault="00762A78" w:rsidP="0099693B">
            <w:pPr>
              <w:numPr>
                <w:ilvl w:val="0"/>
                <w:numId w:val="72"/>
              </w:numPr>
            </w:pPr>
            <w:r w:rsidRPr="00A43A05">
              <w:t>Evidence understanding of the political, social, economic, and institutional factors that impact making changes at work. </w:t>
            </w:r>
          </w:p>
        </w:tc>
      </w:tr>
    </w:tbl>
    <w:p w14:paraId="2C90D104" w14:textId="77777777" w:rsidR="00762A78" w:rsidRPr="00A43A05" w:rsidRDefault="00762A78" w:rsidP="00762A78">
      <w:r w:rsidRPr="00A43A05">
        <w:t> </w:t>
      </w:r>
    </w:p>
    <w:p w14:paraId="4AAF519B" w14:textId="77777777" w:rsidR="00762A78" w:rsidRDefault="00762A78" w:rsidP="00762A78">
      <w:r w:rsidRPr="00A43A05">
        <w:t> </w:t>
      </w:r>
    </w:p>
    <w:p w14:paraId="611D541D" w14:textId="7254B6F9" w:rsidR="00762A78" w:rsidRPr="006D3CD6" w:rsidRDefault="00762A78" w:rsidP="00762A78">
      <w:pPr>
        <w:pStyle w:val="Heading2"/>
      </w:pPr>
      <w:bookmarkStart w:id="44" w:name="_Toc195196552"/>
      <w:bookmarkStart w:id="45" w:name="_Toc197420406"/>
      <w:r>
        <w:lastRenderedPageBreak/>
        <w:t xml:space="preserve">3.3 </w:t>
      </w:r>
      <w:r w:rsidRPr="006D3CD6">
        <w:t xml:space="preserve">Contributory </w:t>
      </w:r>
      <w:r w:rsidR="004A2A88">
        <w:t>d</w:t>
      </w:r>
      <w:r w:rsidRPr="006D3CD6">
        <w:t xml:space="preserve">isciplines to </w:t>
      </w:r>
      <w:r w:rsidR="004C5E6F">
        <w:t>s</w:t>
      </w:r>
      <w:r w:rsidRPr="006D3CD6">
        <w:t xml:space="preserve">peech and </w:t>
      </w:r>
      <w:r w:rsidR="004C5E6F">
        <w:t>l</w:t>
      </w:r>
      <w:r w:rsidRPr="006D3CD6">
        <w:t xml:space="preserve">anguage </w:t>
      </w:r>
      <w:r w:rsidR="004C5E6F">
        <w:t>t</w:t>
      </w:r>
      <w:r w:rsidRPr="006D3CD6">
        <w:t>herapy</w:t>
      </w:r>
      <w:bookmarkEnd w:id="44"/>
      <w:bookmarkEnd w:id="45"/>
      <w:r w:rsidRPr="006D3CD6">
        <w:t> </w:t>
      </w:r>
    </w:p>
    <w:p w14:paraId="3D30D565" w14:textId="77777777" w:rsidR="00762A78" w:rsidRPr="00B34B4E" w:rsidRDefault="00762A78" w:rsidP="00762A78">
      <w:r w:rsidRPr="00B34B4E">
        <w:t xml:space="preserve">In addition to the core areas of speech and language therapy, the curriculum must incorporate </w:t>
      </w:r>
      <w:r>
        <w:t xml:space="preserve">content from </w:t>
      </w:r>
      <w:r w:rsidRPr="00B34B4E">
        <w:t>key contributory disciplines</w:t>
      </w:r>
      <w:r>
        <w:t>, assessed appropriately</w:t>
      </w:r>
      <w:r w:rsidRPr="00B34B4E">
        <w:t>. These are subject areas that support and enhance a comprehensive understanding of speech, language, communication, eating, drinking and swallowing (EDS), and the wider role of the speech and language therapist.</w:t>
      </w:r>
    </w:p>
    <w:p w14:paraId="15775D02" w14:textId="77777777" w:rsidR="00762A78" w:rsidRPr="00B34B4E" w:rsidRDefault="00762A78" w:rsidP="00762A78">
      <w:r w:rsidRPr="00B34B4E">
        <w:t>These disciplines are integral to meeting both academic and professional standards, ensuring that learners develop a well-rounded, interdisciplinary foundation for practice.</w:t>
      </w:r>
    </w:p>
    <w:p w14:paraId="1F37DCFC" w14:textId="77777777" w:rsidR="00762A78" w:rsidRPr="00B34B4E" w:rsidRDefault="00762A78" w:rsidP="00762A78">
      <w:r w:rsidRPr="00B34B4E">
        <w:t>The core subject areas within the contributory disciplines include</w:t>
      </w:r>
      <w:r>
        <w:t>:</w:t>
      </w:r>
    </w:p>
    <w:p w14:paraId="3D257F6C" w14:textId="58E9307B" w:rsidR="00762A78" w:rsidRPr="008A1C9C" w:rsidRDefault="00762A78" w:rsidP="0099693B">
      <w:pPr>
        <w:numPr>
          <w:ilvl w:val="0"/>
          <w:numId w:val="9"/>
        </w:numPr>
      </w:pPr>
      <w:r w:rsidRPr="008A1C9C">
        <w:rPr>
          <w:b/>
          <w:bCs/>
        </w:rPr>
        <w:t>Phonetics and Linguistics</w:t>
      </w:r>
      <w:r w:rsidRPr="008A1C9C">
        <w:t xml:space="preserve"> – </w:t>
      </w:r>
      <w:r w:rsidR="006673D1">
        <w:t>f</w:t>
      </w:r>
      <w:r w:rsidRPr="008A1C9C">
        <w:t>undamental principles of speech sounds, language structure, and their application to communication.</w:t>
      </w:r>
    </w:p>
    <w:p w14:paraId="62961DD6" w14:textId="77777777" w:rsidR="00762A78" w:rsidRPr="008A1C9C" w:rsidRDefault="00762A78" w:rsidP="0099693B">
      <w:pPr>
        <w:numPr>
          <w:ilvl w:val="0"/>
          <w:numId w:val="9"/>
        </w:numPr>
      </w:pPr>
      <w:r w:rsidRPr="008A1C9C">
        <w:rPr>
          <w:b/>
          <w:bCs/>
        </w:rPr>
        <w:t>Biological</w:t>
      </w:r>
      <w:r>
        <w:rPr>
          <w:b/>
          <w:bCs/>
        </w:rPr>
        <w:t xml:space="preserve"> and Medical</w:t>
      </w:r>
      <w:r w:rsidRPr="008A1C9C">
        <w:rPr>
          <w:b/>
          <w:bCs/>
        </w:rPr>
        <w:t xml:space="preserve"> Sciences</w:t>
      </w:r>
      <w:r w:rsidRPr="008A1C9C">
        <w:t xml:space="preserve"> – Understanding of anatomy, physiology, and neurology related to speech, language, and swallowing mechanisms.</w:t>
      </w:r>
    </w:p>
    <w:p w14:paraId="34037F26" w14:textId="77777777" w:rsidR="00762A78" w:rsidRPr="008A1C9C" w:rsidRDefault="00762A78" w:rsidP="0099693B">
      <w:pPr>
        <w:numPr>
          <w:ilvl w:val="0"/>
          <w:numId w:val="9"/>
        </w:numPr>
      </w:pPr>
      <w:r w:rsidRPr="008A1C9C">
        <w:rPr>
          <w:b/>
          <w:bCs/>
        </w:rPr>
        <w:t>Psychology, Sociology, and Education</w:t>
      </w:r>
      <w:r w:rsidRPr="008A1C9C">
        <w:t xml:space="preserve"> – The study of cognitive, social, and developmental factors influencing communication and learning</w:t>
      </w:r>
      <w:r>
        <w:t xml:space="preserve"> and the way the SLT service is delivered</w:t>
      </w:r>
    </w:p>
    <w:p w14:paraId="05319792" w14:textId="77777777" w:rsidR="00762A78" w:rsidRDefault="00762A78" w:rsidP="0099693B">
      <w:pPr>
        <w:numPr>
          <w:ilvl w:val="0"/>
          <w:numId w:val="9"/>
        </w:numPr>
      </w:pPr>
      <w:r w:rsidRPr="008A1C9C">
        <w:rPr>
          <w:b/>
          <w:bCs/>
        </w:rPr>
        <w:t xml:space="preserve">Research </w:t>
      </w:r>
      <w:r>
        <w:rPr>
          <w:b/>
          <w:bCs/>
        </w:rPr>
        <w:t>Skills</w:t>
      </w:r>
      <w:r w:rsidRPr="008A1C9C">
        <w:t xml:space="preserve"> – Principles of evidence-based inquiry, critical analysis, and methodological approaches to research in speech and language sciences</w:t>
      </w:r>
    </w:p>
    <w:p w14:paraId="5A906972" w14:textId="53AC1A98" w:rsidR="00762A78" w:rsidRDefault="00762A78" w:rsidP="00762A78"/>
    <w:p w14:paraId="712A1719" w14:textId="77777777" w:rsidR="00762A78" w:rsidRDefault="00762A78" w:rsidP="00762A78">
      <w:r w:rsidRPr="006D3CD6">
        <w:t xml:space="preserve">Pre-registration speech and language therapy </w:t>
      </w:r>
      <w:r>
        <w:t>should</w:t>
      </w:r>
      <w:r w:rsidRPr="006D3CD6">
        <w:t xml:space="preserve"> integrate </w:t>
      </w:r>
      <w:r w:rsidRPr="006D3CD6">
        <w:rPr>
          <w:b/>
          <w:bCs/>
        </w:rPr>
        <w:t>phonetics and linguistics, biological</w:t>
      </w:r>
      <w:r>
        <w:rPr>
          <w:b/>
          <w:bCs/>
        </w:rPr>
        <w:t xml:space="preserve"> and medical</w:t>
      </w:r>
      <w:r w:rsidRPr="006D3CD6">
        <w:rPr>
          <w:b/>
          <w:bCs/>
        </w:rPr>
        <w:t xml:space="preserve"> sciences, psychology, sociology, education, and research skills</w:t>
      </w:r>
      <w:r w:rsidRPr="006D3CD6">
        <w:t xml:space="preserve"> to provide a comprehensive foundation for clinical practice. </w:t>
      </w:r>
      <w:r w:rsidRPr="008146AE">
        <w:t xml:space="preserve">Each programme must have a clinically justified framework for the coverage of core subject areas, ensuring a balanced approach to theoretical foundations, skill acquisition, and clinical application where relevant. Learning will </w:t>
      </w:r>
      <w:r>
        <w:t>adopt</w:t>
      </w:r>
      <w:r w:rsidRPr="008146AE">
        <w:t xml:space="preserve"> a lifespan </w:t>
      </w:r>
      <w:r>
        <w:t>perspective</w:t>
      </w:r>
      <w:r w:rsidRPr="008146AE">
        <w:t>, enabling students to understand the development and progression of communication and swallowing needs across different stages of life</w:t>
      </w:r>
      <w:r>
        <w:t>.</w:t>
      </w:r>
    </w:p>
    <w:tbl>
      <w:tblPr>
        <w:tblStyle w:val="TableGrid"/>
        <w:tblW w:w="10000" w:type="dxa"/>
        <w:tblCellMar>
          <w:top w:w="57" w:type="dxa"/>
          <w:right w:w="57" w:type="dxa"/>
        </w:tblCellMar>
        <w:tblLook w:val="04A0" w:firstRow="1" w:lastRow="0" w:firstColumn="1" w:lastColumn="0" w:noHBand="0" w:noVBand="1"/>
      </w:tblPr>
      <w:tblGrid>
        <w:gridCol w:w="10000"/>
      </w:tblGrid>
      <w:tr w:rsidR="0026477B" w:rsidRPr="0020423A" w14:paraId="26B950A7" w14:textId="77777777" w:rsidTr="0026477B">
        <w:tc>
          <w:tcPr>
            <w:tcW w:w="10000" w:type="dxa"/>
          </w:tcPr>
          <w:p w14:paraId="76C50E5E" w14:textId="08DB6D03" w:rsidR="00762A78" w:rsidRPr="00AF2016" w:rsidRDefault="00762A78">
            <w:pPr>
              <w:spacing w:after="160" w:line="259" w:lineRule="auto"/>
              <w:rPr>
                <w:b/>
                <w:bCs/>
                <w:sz w:val="28"/>
                <w:szCs w:val="28"/>
              </w:rPr>
            </w:pPr>
            <w:r w:rsidRPr="00AF2016">
              <w:rPr>
                <w:b/>
                <w:bCs/>
                <w:sz w:val="28"/>
                <w:szCs w:val="28"/>
              </w:rPr>
              <w:t xml:space="preserve">Phonetics and </w:t>
            </w:r>
            <w:r w:rsidR="004C5E6F">
              <w:rPr>
                <w:b/>
                <w:bCs/>
                <w:sz w:val="28"/>
                <w:szCs w:val="28"/>
              </w:rPr>
              <w:t>l</w:t>
            </w:r>
            <w:r w:rsidRPr="00AF2016">
              <w:rPr>
                <w:b/>
                <w:bCs/>
                <w:sz w:val="28"/>
                <w:szCs w:val="28"/>
              </w:rPr>
              <w:t>inguistics</w:t>
            </w:r>
          </w:p>
          <w:p w14:paraId="00C528C2" w14:textId="77777777" w:rsidR="00762A78" w:rsidRPr="0020423A" w:rsidRDefault="00762A78">
            <w:pPr>
              <w:rPr>
                <w:i/>
                <w:iCs/>
              </w:rPr>
            </w:pPr>
            <w:r w:rsidRPr="0020423A">
              <w:rPr>
                <w:i/>
                <w:iCs/>
              </w:rPr>
              <w:t>Each programme will have a clinically</w:t>
            </w:r>
            <w:r>
              <w:rPr>
                <w:i/>
                <w:iCs/>
              </w:rPr>
              <w:t xml:space="preserve"> </w:t>
            </w:r>
            <w:r w:rsidRPr="0020423A">
              <w:rPr>
                <w:i/>
                <w:iCs/>
              </w:rPr>
              <w:t>justified plan for coverage of the following areas, in theoretical underpinning, acquisition/development, and clinical application where appropriate.</w:t>
            </w:r>
          </w:p>
        </w:tc>
      </w:tr>
      <w:tr w:rsidR="0026477B" w:rsidRPr="0020423A" w14:paraId="4501F999" w14:textId="77777777" w:rsidTr="0026477B">
        <w:tc>
          <w:tcPr>
            <w:tcW w:w="10000" w:type="dxa"/>
          </w:tcPr>
          <w:p w14:paraId="2E57D6A9" w14:textId="77777777" w:rsidR="00762A78" w:rsidRPr="00310D68" w:rsidRDefault="00762A78">
            <w:pPr>
              <w:rPr>
                <w:b/>
                <w:bCs/>
              </w:rPr>
            </w:pPr>
            <w:r w:rsidRPr="00310D68">
              <w:rPr>
                <w:b/>
                <w:bCs/>
              </w:rPr>
              <w:t>Phonetics</w:t>
            </w:r>
          </w:p>
          <w:p w14:paraId="7AD2D504" w14:textId="77777777" w:rsidR="00762A78" w:rsidRPr="0020423A" w:rsidRDefault="00762A78" w:rsidP="0099693B">
            <w:pPr>
              <w:pStyle w:val="ListParagraph"/>
              <w:numPr>
                <w:ilvl w:val="0"/>
                <w:numId w:val="95"/>
              </w:numPr>
            </w:pPr>
            <w:r w:rsidRPr="0020423A">
              <w:t>Foundations (including relevant anatomical and physiological maturational changes and reference to instrumental and/or experimental approaches where appropriate)</w:t>
            </w:r>
          </w:p>
          <w:p w14:paraId="0542E4D1" w14:textId="77777777" w:rsidR="00762A78" w:rsidRPr="0020423A" w:rsidRDefault="00762A78" w:rsidP="0099693B">
            <w:pPr>
              <w:pStyle w:val="ListParagraph"/>
              <w:numPr>
                <w:ilvl w:val="1"/>
                <w:numId w:val="95"/>
              </w:numPr>
            </w:pPr>
            <w:r w:rsidRPr="0020423A">
              <w:t>Articulatory phonetics</w:t>
            </w:r>
          </w:p>
          <w:p w14:paraId="7250E670" w14:textId="77777777" w:rsidR="00762A78" w:rsidRPr="0020423A" w:rsidRDefault="00762A78" w:rsidP="0099693B">
            <w:pPr>
              <w:pStyle w:val="ListParagraph"/>
              <w:numPr>
                <w:ilvl w:val="1"/>
                <w:numId w:val="95"/>
              </w:numPr>
            </w:pPr>
            <w:r w:rsidRPr="0020423A">
              <w:t>Acoustic phonetics</w:t>
            </w:r>
          </w:p>
          <w:p w14:paraId="24A53F97" w14:textId="77777777" w:rsidR="00762A78" w:rsidRPr="0020423A" w:rsidRDefault="00762A78" w:rsidP="0099693B">
            <w:pPr>
              <w:pStyle w:val="ListParagraph"/>
              <w:numPr>
                <w:ilvl w:val="1"/>
                <w:numId w:val="95"/>
              </w:numPr>
            </w:pPr>
            <w:r w:rsidRPr="0020423A">
              <w:t>Auditory and perceptual phonetics</w:t>
            </w:r>
          </w:p>
          <w:p w14:paraId="728542B8" w14:textId="77777777" w:rsidR="00762A78" w:rsidRPr="0020423A" w:rsidRDefault="00762A78" w:rsidP="0099693B">
            <w:pPr>
              <w:pStyle w:val="ListParagraph"/>
              <w:numPr>
                <w:ilvl w:val="1"/>
                <w:numId w:val="95"/>
              </w:numPr>
            </w:pPr>
            <w:r w:rsidRPr="0020423A">
              <w:t>Prosodic features: stress, intonation, voice quality</w:t>
            </w:r>
          </w:p>
          <w:p w14:paraId="7D5D75E4" w14:textId="77777777" w:rsidR="00762A78" w:rsidRPr="0020423A" w:rsidRDefault="00762A78" w:rsidP="0099693B">
            <w:pPr>
              <w:pStyle w:val="ListParagraph"/>
              <w:numPr>
                <w:ilvl w:val="1"/>
                <w:numId w:val="95"/>
              </w:numPr>
            </w:pPr>
            <w:r w:rsidRPr="0020423A">
              <w:lastRenderedPageBreak/>
              <w:t>Fluency (articulatory and prosodic)</w:t>
            </w:r>
          </w:p>
          <w:p w14:paraId="05809EFF" w14:textId="77777777" w:rsidR="00762A78" w:rsidRPr="0020423A" w:rsidRDefault="00762A78" w:rsidP="0099693B">
            <w:pPr>
              <w:pStyle w:val="ListParagraph"/>
              <w:numPr>
                <w:ilvl w:val="1"/>
                <w:numId w:val="95"/>
              </w:numPr>
            </w:pPr>
            <w:r w:rsidRPr="0020423A">
              <w:t>Interface between phonetics and phonology</w:t>
            </w:r>
          </w:p>
          <w:p w14:paraId="32605728" w14:textId="77777777" w:rsidR="00762A78" w:rsidRPr="0020423A" w:rsidRDefault="00762A78" w:rsidP="0099693B">
            <w:pPr>
              <w:pStyle w:val="ListParagraph"/>
              <w:numPr>
                <w:ilvl w:val="0"/>
                <w:numId w:val="95"/>
              </w:numPr>
            </w:pPr>
            <w:r w:rsidRPr="0020423A">
              <w:t>Phonetic transcription</w:t>
            </w:r>
          </w:p>
          <w:p w14:paraId="34FC6E0D" w14:textId="77777777" w:rsidR="00762A78" w:rsidRPr="0020423A" w:rsidRDefault="00762A78" w:rsidP="0099693B">
            <w:pPr>
              <w:pStyle w:val="ListParagraph"/>
              <w:numPr>
                <w:ilvl w:val="1"/>
                <w:numId w:val="95"/>
              </w:numPr>
            </w:pPr>
            <w:r w:rsidRPr="0020423A">
              <w:t xml:space="preserve">Typical and disordered (aspects of IPA and </w:t>
            </w:r>
            <w:proofErr w:type="spellStart"/>
            <w:r w:rsidRPr="0020423A">
              <w:t>extIPA</w:t>
            </w:r>
            <w:proofErr w:type="spellEnd"/>
            <w:r w:rsidRPr="0020423A">
              <w:t xml:space="preserve"> as appropriate)</w:t>
            </w:r>
          </w:p>
          <w:p w14:paraId="5316BE5D" w14:textId="77777777" w:rsidR="00762A78" w:rsidRPr="0020423A" w:rsidRDefault="00762A78" w:rsidP="0099693B">
            <w:pPr>
              <w:pStyle w:val="ListParagraph"/>
              <w:numPr>
                <w:ilvl w:val="1"/>
                <w:numId w:val="95"/>
              </w:numPr>
            </w:pPr>
            <w:r w:rsidRPr="0020423A">
              <w:t>Segmental (consonant and vowel) and suprasegmental aspects, including connected speech</w:t>
            </w:r>
          </w:p>
          <w:p w14:paraId="2A91E73A" w14:textId="77777777" w:rsidR="00762A78" w:rsidRPr="0020423A" w:rsidRDefault="00762A78" w:rsidP="0099693B">
            <w:pPr>
              <w:pStyle w:val="ListParagraph"/>
              <w:numPr>
                <w:ilvl w:val="0"/>
                <w:numId w:val="95"/>
              </w:numPr>
            </w:pPr>
            <w:r w:rsidRPr="0020423A">
              <w:t>Phonetics in Use</w:t>
            </w:r>
          </w:p>
          <w:p w14:paraId="3A60760F" w14:textId="77777777" w:rsidR="00762A78" w:rsidRPr="0020423A" w:rsidRDefault="00762A78" w:rsidP="0099693B">
            <w:pPr>
              <w:pStyle w:val="ListParagraph"/>
              <w:numPr>
                <w:ilvl w:val="1"/>
                <w:numId w:val="95"/>
              </w:numPr>
            </w:pPr>
            <w:proofErr w:type="spellStart"/>
            <w:r w:rsidRPr="0020423A">
              <w:t>Sociophonetic</w:t>
            </w:r>
            <w:proofErr w:type="spellEnd"/>
            <w:r w:rsidRPr="0020423A">
              <w:t xml:space="preserve"> variation</w:t>
            </w:r>
          </w:p>
          <w:p w14:paraId="219DFD0F" w14:textId="77777777" w:rsidR="00762A78" w:rsidRPr="0020423A" w:rsidRDefault="00762A78" w:rsidP="0099693B">
            <w:pPr>
              <w:pStyle w:val="ListParagraph"/>
              <w:numPr>
                <w:ilvl w:val="1"/>
                <w:numId w:val="95"/>
              </w:numPr>
            </w:pPr>
            <w:r w:rsidRPr="0020423A">
              <w:t>Multilingualism</w:t>
            </w:r>
          </w:p>
        </w:tc>
      </w:tr>
      <w:tr w:rsidR="0026477B" w:rsidRPr="0020423A" w14:paraId="41A1DDF8" w14:textId="77777777" w:rsidTr="0026477B">
        <w:tc>
          <w:tcPr>
            <w:tcW w:w="10000" w:type="dxa"/>
          </w:tcPr>
          <w:p w14:paraId="77D1318E" w14:textId="77777777" w:rsidR="00762A78" w:rsidRPr="00310D68" w:rsidRDefault="00762A78">
            <w:pPr>
              <w:rPr>
                <w:b/>
                <w:bCs/>
              </w:rPr>
            </w:pPr>
            <w:r w:rsidRPr="00310D68">
              <w:rPr>
                <w:b/>
                <w:bCs/>
              </w:rPr>
              <w:lastRenderedPageBreak/>
              <w:t xml:space="preserve">Linguistics </w:t>
            </w:r>
          </w:p>
          <w:p w14:paraId="2F66FFA9" w14:textId="77777777" w:rsidR="00762A78" w:rsidRPr="0020423A" w:rsidRDefault="00762A78" w:rsidP="0099693B">
            <w:pPr>
              <w:pStyle w:val="ListParagraph"/>
              <w:numPr>
                <w:ilvl w:val="0"/>
                <w:numId w:val="94"/>
              </w:numPr>
            </w:pPr>
            <w:r w:rsidRPr="0020423A">
              <w:t>Core Fields</w:t>
            </w:r>
          </w:p>
          <w:p w14:paraId="1D6ABF9A" w14:textId="77777777" w:rsidR="00762A78" w:rsidRPr="0020423A" w:rsidRDefault="00762A78" w:rsidP="0099693B">
            <w:pPr>
              <w:pStyle w:val="ListParagraph"/>
              <w:numPr>
                <w:ilvl w:val="1"/>
                <w:numId w:val="94"/>
              </w:numPr>
            </w:pPr>
            <w:r w:rsidRPr="0020423A">
              <w:t>Phonology</w:t>
            </w:r>
          </w:p>
          <w:p w14:paraId="23453C2E" w14:textId="77777777" w:rsidR="00762A78" w:rsidRPr="0020423A" w:rsidRDefault="00762A78" w:rsidP="0099693B">
            <w:pPr>
              <w:pStyle w:val="ListParagraph"/>
              <w:numPr>
                <w:ilvl w:val="1"/>
                <w:numId w:val="94"/>
              </w:numPr>
            </w:pPr>
            <w:r w:rsidRPr="0020423A">
              <w:t>Morphology</w:t>
            </w:r>
          </w:p>
          <w:p w14:paraId="32228442" w14:textId="77777777" w:rsidR="00762A78" w:rsidRPr="0020423A" w:rsidRDefault="00762A78" w:rsidP="0099693B">
            <w:pPr>
              <w:pStyle w:val="ListParagraph"/>
              <w:numPr>
                <w:ilvl w:val="1"/>
                <w:numId w:val="94"/>
              </w:numPr>
            </w:pPr>
            <w:r w:rsidRPr="0020423A">
              <w:t>Syntax</w:t>
            </w:r>
          </w:p>
          <w:p w14:paraId="71389FC1" w14:textId="77777777" w:rsidR="00762A78" w:rsidRPr="0020423A" w:rsidRDefault="00762A78" w:rsidP="0099693B">
            <w:pPr>
              <w:pStyle w:val="ListParagraph"/>
              <w:numPr>
                <w:ilvl w:val="1"/>
                <w:numId w:val="94"/>
              </w:numPr>
            </w:pPr>
            <w:r w:rsidRPr="0020423A">
              <w:t>Semantics</w:t>
            </w:r>
          </w:p>
          <w:p w14:paraId="2455AFC4" w14:textId="77777777" w:rsidR="00762A78" w:rsidRPr="0020423A" w:rsidRDefault="00762A78" w:rsidP="0099693B">
            <w:pPr>
              <w:pStyle w:val="ListParagraph"/>
              <w:numPr>
                <w:ilvl w:val="0"/>
                <w:numId w:val="94"/>
              </w:numPr>
            </w:pPr>
            <w:r w:rsidRPr="0020423A">
              <w:t>Language and the Mind (as relevant to the Core Fields)</w:t>
            </w:r>
          </w:p>
          <w:p w14:paraId="0644C767" w14:textId="77777777" w:rsidR="00762A78" w:rsidRPr="0020423A" w:rsidRDefault="00762A78" w:rsidP="0099693B">
            <w:pPr>
              <w:pStyle w:val="ListParagraph"/>
              <w:numPr>
                <w:ilvl w:val="1"/>
                <w:numId w:val="94"/>
              </w:numPr>
            </w:pPr>
            <w:r w:rsidRPr="0020423A">
              <w:t>Neurolinguistics</w:t>
            </w:r>
          </w:p>
          <w:p w14:paraId="17A25BB0" w14:textId="77777777" w:rsidR="00762A78" w:rsidRPr="0020423A" w:rsidRDefault="00762A78" w:rsidP="0099693B">
            <w:pPr>
              <w:pStyle w:val="ListParagraph"/>
              <w:numPr>
                <w:ilvl w:val="1"/>
                <w:numId w:val="94"/>
              </w:numPr>
            </w:pPr>
            <w:r w:rsidRPr="0020423A">
              <w:t>Psycholinguistics (including comprehension and expression, speech perception and production)</w:t>
            </w:r>
          </w:p>
          <w:p w14:paraId="4AA43B4A" w14:textId="77777777" w:rsidR="00762A78" w:rsidRPr="0020423A" w:rsidRDefault="00762A78" w:rsidP="0099693B">
            <w:pPr>
              <w:pStyle w:val="ListParagraph"/>
              <w:numPr>
                <w:ilvl w:val="1"/>
                <w:numId w:val="94"/>
              </w:numPr>
            </w:pPr>
            <w:r w:rsidRPr="0020423A">
              <w:t>First Language Acquisition</w:t>
            </w:r>
          </w:p>
          <w:p w14:paraId="1983633F" w14:textId="77777777" w:rsidR="00762A78" w:rsidRPr="0020423A" w:rsidRDefault="00762A78" w:rsidP="0099693B">
            <w:pPr>
              <w:pStyle w:val="ListParagraph"/>
              <w:numPr>
                <w:ilvl w:val="0"/>
                <w:numId w:val="94"/>
              </w:numPr>
            </w:pPr>
            <w:r w:rsidRPr="0020423A">
              <w:t xml:space="preserve">Language in Use </w:t>
            </w:r>
          </w:p>
          <w:p w14:paraId="608327CD" w14:textId="77777777" w:rsidR="00762A78" w:rsidRPr="0020423A" w:rsidRDefault="00762A78" w:rsidP="0099693B">
            <w:pPr>
              <w:pStyle w:val="ListParagraph"/>
              <w:numPr>
                <w:ilvl w:val="1"/>
                <w:numId w:val="94"/>
              </w:numPr>
            </w:pPr>
            <w:r w:rsidRPr="0020423A">
              <w:t>Pragmatics</w:t>
            </w:r>
          </w:p>
          <w:p w14:paraId="229ABAFE" w14:textId="77777777" w:rsidR="00762A78" w:rsidRPr="0020423A" w:rsidRDefault="00762A78" w:rsidP="0099693B">
            <w:pPr>
              <w:pStyle w:val="ListParagraph"/>
              <w:numPr>
                <w:ilvl w:val="1"/>
                <w:numId w:val="94"/>
              </w:numPr>
            </w:pPr>
            <w:r w:rsidRPr="0020423A">
              <w:t>Conversation and discourse analysis</w:t>
            </w:r>
          </w:p>
          <w:p w14:paraId="25045BBF" w14:textId="77777777" w:rsidR="00762A78" w:rsidRPr="0020423A" w:rsidRDefault="00762A78" w:rsidP="0099693B">
            <w:pPr>
              <w:pStyle w:val="ListParagraph"/>
              <w:numPr>
                <w:ilvl w:val="1"/>
                <w:numId w:val="94"/>
              </w:numPr>
            </w:pPr>
            <w:r w:rsidRPr="0020423A">
              <w:t>Sociolinguistic variation</w:t>
            </w:r>
          </w:p>
          <w:p w14:paraId="33406E14" w14:textId="77777777" w:rsidR="00762A78" w:rsidRPr="0020423A" w:rsidRDefault="00762A78" w:rsidP="0099693B">
            <w:pPr>
              <w:pStyle w:val="ListParagraph"/>
              <w:numPr>
                <w:ilvl w:val="1"/>
                <w:numId w:val="94"/>
              </w:numPr>
            </w:pPr>
            <w:r w:rsidRPr="0020423A">
              <w:t>Multilingualism</w:t>
            </w:r>
          </w:p>
          <w:p w14:paraId="49CBB7E0" w14:textId="77777777" w:rsidR="00762A78" w:rsidRPr="0020423A" w:rsidRDefault="00762A78" w:rsidP="0099693B">
            <w:pPr>
              <w:pStyle w:val="ListParagraph"/>
              <w:numPr>
                <w:ilvl w:val="1"/>
                <w:numId w:val="94"/>
              </w:numPr>
            </w:pPr>
            <w:r w:rsidRPr="0020423A">
              <w:t>Second Language Acquisition</w:t>
            </w:r>
          </w:p>
          <w:p w14:paraId="2759F893" w14:textId="77777777" w:rsidR="00762A78" w:rsidRPr="0020423A" w:rsidRDefault="00762A78" w:rsidP="0099693B">
            <w:pPr>
              <w:pStyle w:val="ListParagraph"/>
              <w:numPr>
                <w:ilvl w:val="1"/>
                <w:numId w:val="94"/>
              </w:numPr>
            </w:pPr>
            <w:r w:rsidRPr="0020423A">
              <w:t>Implications for literacy</w:t>
            </w:r>
          </w:p>
        </w:tc>
      </w:tr>
    </w:tbl>
    <w:p w14:paraId="79CD4044" w14:textId="77777777" w:rsidR="00762A78" w:rsidRDefault="00762A78" w:rsidP="00762A78"/>
    <w:tbl>
      <w:tblPr>
        <w:tblW w:w="10045" w:type="dxa"/>
        <w:tblBorders>
          <w:top w:val="outset" w:sz="6" w:space="0" w:color="auto"/>
          <w:left w:val="outset" w:sz="6" w:space="0" w:color="auto"/>
          <w:bottom w:val="outset" w:sz="6" w:space="0" w:color="auto"/>
          <w:right w:val="outset" w:sz="6" w:space="0" w:color="auto"/>
        </w:tblBorders>
        <w:tblCellMar>
          <w:top w:w="57" w:type="dxa"/>
          <w:left w:w="113" w:type="dxa"/>
          <w:right w:w="57" w:type="dxa"/>
        </w:tblCellMar>
        <w:tblLook w:val="04A0" w:firstRow="1" w:lastRow="0" w:firstColumn="1" w:lastColumn="0" w:noHBand="0" w:noVBand="1"/>
      </w:tblPr>
      <w:tblGrid>
        <w:gridCol w:w="10045"/>
      </w:tblGrid>
      <w:tr w:rsidR="0026477B" w:rsidRPr="006D3CD6" w14:paraId="2D400BDF" w14:textId="77777777" w:rsidTr="0026477B">
        <w:trPr>
          <w:trHeight w:val="300"/>
        </w:trPr>
        <w:tc>
          <w:tcPr>
            <w:tcW w:w="10045" w:type="dxa"/>
            <w:tcBorders>
              <w:top w:val="single" w:sz="6" w:space="0" w:color="auto"/>
              <w:left w:val="single" w:sz="6" w:space="0" w:color="auto"/>
              <w:bottom w:val="single" w:sz="6" w:space="0" w:color="auto"/>
              <w:right w:val="single" w:sz="6" w:space="0" w:color="auto"/>
            </w:tcBorders>
            <w:shd w:val="clear" w:color="auto" w:fill="auto"/>
            <w:hideMark/>
          </w:tcPr>
          <w:p w14:paraId="77496F5F" w14:textId="71A79338" w:rsidR="00762A78" w:rsidRPr="000D5246" w:rsidRDefault="00762A78">
            <w:pPr>
              <w:rPr>
                <w:sz w:val="28"/>
                <w:szCs w:val="28"/>
              </w:rPr>
            </w:pPr>
            <w:r w:rsidRPr="000D5246">
              <w:rPr>
                <w:b/>
                <w:bCs/>
                <w:sz w:val="28"/>
                <w:szCs w:val="28"/>
              </w:rPr>
              <w:t xml:space="preserve">Biological and </w:t>
            </w:r>
            <w:r w:rsidR="004C5E6F">
              <w:rPr>
                <w:b/>
                <w:bCs/>
                <w:sz w:val="28"/>
                <w:szCs w:val="28"/>
              </w:rPr>
              <w:t>m</w:t>
            </w:r>
            <w:r w:rsidRPr="000D5246">
              <w:rPr>
                <w:b/>
                <w:bCs/>
                <w:sz w:val="28"/>
                <w:szCs w:val="28"/>
              </w:rPr>
              <w:t xml:space="preserve">edical </w:t>
            </w:r>
            <w:r w:rsidR="004C5E6F">
              <w:rPr>
                <w:b/>
                <w:bCs/>
                <w:sz w:val="28"/>
                <w:szCs w:val="28"/>
              </w:rPr>
              <w:t>s</w:t>
            </w:r>
            <w:r w:rsidRPr="000D5246">
              <w:rPr>
                <w:b/>
                <w:bCs/>
                <w:sz w:val="28"/>
                <w:szCs w:val="28"/>
              </w:rPr>
              <w:t>ciences</w:t>
            </w:r>
            <w:r w:rsidRPr="000D5246">
              <w:rPr>
                <w:sz w:val="28"/>
                <w:szCs w:val="28"/>
              </w:rPr>
              <w:t> </w:t>
            </w:r>
          </w:p>
          <w:p w14:paraId="57428047" w14:textId="77777777" w:rsidR="00762A78" w:rsidRPr="006D3CD6" w:rsidRDefault="00762A78">
            <w:r w:rsidRPr="006D3CD6">
              <w:t xml:space="preserve">Programmes will draw on the principles, the evidence base, and/or expertise from fields </w:t>
            </w:r>
            <w:r>
              <w:t xml:space="preserve">biological and medical sciences </w:t>
            </w:r>
            <w:r w:rsidRPr="006D3CD6">
              <w:t>where appropriate in addressing the following: </w:t>
            </w:r>
          </w:p>
        </w:tc>
      </w:tr>
      <w:tr w:rsidR="0026477B" w:rsidRPr="006D3CD6" w14:paraId="666023E1" w14:textId="77777777" w:rsidTr="0026477B">
        <w:trPr>
          <w:trHeight w:val="300"/>
        </w:trPr>
        <w:tc>
          <w:tcPr>
            <w:tcW w:w="10045" w:type="dxa"/>
            <w:tcBorders>
              <w:top w:val="single" w:sz="6" w:space="0" w:color="auto"/>
              <w:left w:val="single" w:sz="6" w:space="0" w:color="auto"/>
              <w:bottom w:val="single" w:sz="6" w:space="0" w:color="auto"/>
              <w:right w:val="single" w:sz="6" w:space="0" w:color="auto"/>
            </w:tcBorders>
            <w:shd w:val="clear" w:color="auto" w:fill="auto"/>
            <w:hideMark/>
          </w:tcPr>
          <w:p w14:paraId="0D1428F4" w14:textId="77777777" w:rsidR="00762A78" w:rsidRPr="006D3CD6" w:rsidRDefault="00762A78">
            <w:r w:rsidRPr="006D3CD6">
              <w:t>Anatomy (structure) and physiology (function) of the following systems relevant to speech, language, communication, and eating/drinking/swallowing: </w:t>
            </w:r>
          </w:p>
          <w:p w14:paraId="5973E24B" w14:textId="77777777" w:rsidR="00762A78" w:rsidRPr="006D3CD6" w:rsidRDefault="00762A78" w:rsidP="0099693B">
            <w:pPr>
              <w:numPr>
                <w:ilvl w:val="0"/>
                <w:numId w:val="10"/>
              </w:numPr>
            </w:pPr>
            <w:r w:rsidRPr="006D3CD6">
              <w:t>Cells and Tissues </w:t>
            </w:r>
          </w:p>
          <w:p w14:paraId="4DBD464A" w14:textId="77777777" w:rsidR="00762A78" w:rsidRPr="006D3CD6" w:rsidRDefault="00762A78" w:rsidP="0099693B">
            <w:pPr>
              <w:numPr>
                <w:ilvl w:val="0"/>
                <w:numId w:val="11"/>
              </w:numPr>
            </w:pPr>
            <w:r w:rsidRPr="006D3CD6">
              <w:t>Genetics and Embryology </w:t>
            </w:r>
          </w:p>
          <w:p w14:paraId="713E6610" w14:textId="77777777" w:rsidR="00762A78" w:rsidRPr="006D3CD6" w:rsidRDefault="00762A78" w:rsidP="0099693B">
            <w:pPr>
              <w:numPr>
                <w:ilvl w:val="0"/>
                <w:numId w:val="12"/>
              </w:numPr>
            </w:pPr>
            <w:r w:rsidRPr="006D3CD6">
              <w:t>The Cardiovascular System </w:t>
            </w:r>
          </w:p>
          <w:p w14:paraId="01DE6436" w14:textId="77777777" w:rsidR="00762A78" w:rsidRPr="006D3CD6" w:rsidRDefault="00762A78" w:rsidP="0099693B">
            <w:pPr>
              <w:numPr>
                <w:ilvl w:val="0"/>
                <w:numId w:val="13"/>
              </w:numPr>
            </w:pPr>
            <w:r w:rsidRPr="006D3CD6">
              <w:t>The Digestive System </w:t>
            </w:r>
          </w:p>
          <w:p w14:paraId="4BB70A6A" w14:textId="77777777" w:rsidR="00762A78" w:rsidRPr="006D3CD6" w:rsidRDefault="00762A78" w:rsidP="0099693B">
            <w:pPr>
              <w:numPr>
                <w:ilvl w:val="0"/>
                <w:numId w:val="14"/>
              </w:numPr>
            </w:pPr>
            <w:r w:rsidRPr="006D3CD6">
              <w:t>The Respiratory System </w:t>
            </w:r>
          </w:p>
          <w:p w14:paraId="48175116" w14:textId="77777777" w:rsidR="00762A78" w:rsidRPr="006D3CD6" w:rsidRDefault="00762A78" w:rsidP="0099693B">
            <w:pPr>
              <w:numPr>
                <w:ilvl w:val="0"/>
                <w:numId w:val="15"/>
              </w:numPr>
            </w:pPr>
            <w:r w:rsidRPr="006D3CD6">
              <w:t>The Endocrine System </w:t>
            </w:r>
          </w:p>
          <w:p w14:paraId="418E9BE6" w14:textId="77777777" w:rsidR="00762A78" w:rsidRPr="006D3CD6" w:rsidRDefault="00762A78" w:rsidP="0099693B">
            <w:pPr>
              <w:numPr>
                <w:ilvl w:val="0"/>
                <w:numId w:val="16"/>
              </w:numPr>
            </w:pPr>
            <w:r w:rsidRPr="006D3CD6">
              <w:lastRenderedPageBreak/>
              <w:t>The Musculoskeletal System </w:t>
            </w:r>
          </w:p>
          <w:p w14:paraId="16FF9768" w14:textId="77777777" w:rsidR="00762A78" w:rsidRPr="006D3CD6" w:rsidRDefault="00762A78" w:rsidP="0099693B">
            <w:pPr>
              <w:numPr>
                <w:ilvl w:val="0"/>
                <w:numId w:val="17"/>
              </w:numPr>
            </w:pPr>
            <w:r w:rsidRPr="006D3CD6">
              <w:t>The Nervous System  </w:t>
            </w:r>
          </w:p>
        </w:tc>
      </w:tr>
      <w:tr w:rsidR="0026477B" w:rsidRPr="006D3CD6" w14:paraId="26B52435" w14:textId="77777777" w:rsidTr="0026477B">
        <w:trPr>
          <w:trHeight w:val="300"/>
        </w:trPr>
        <w:tc>
          <w:tcPr>
            <w:tcW w:w="10045" w:type="dxa"/>
            <w:tcBorders>
              <w:top w:val="single" w:sz="6" w:space="0" w:color="auto"/>
              <w:left w:val="single" w:sz="6" w:space="0" w:color="auto"/>
              <w:bottom w:val="single" w:sz="6" w:space="0" w:color="auto"/>
              <w:right w:val="single" w:sz="6" w:space="0" w:color="auto"/>
            </w:tcBorders>
            <w:shd w:val="clear" w:color="auto" w:fill="auto"/>
            <w:hideMark/>
          </w:tcPr>
          <w:p w14:paraId="114D6A4C" w14:textId="77777777" w:rsidR="00762A78" w:rsidRPr="006D3CD6" w:rsidRDefault="00762A78">
            <w:r w:rsidRPr="006D3CD6">
              <w:lastRenderedPageBreak/>
              <w:t>Anatomy (structure) and physiology (function), including typical lifespan changes, of the following structures and organs relevant to speech, language, communication, and eating/drinking/swallowing: </w:t>
            </w:r>
          </w:p>
          <w:p w14:paraId="61F3AD3D" w14:textId="77777777" w:rsidR="00762A78" w:rsidRPr="006D3CD6" w:rsidRDefault="00762A78" w:rsidP="0099693B">
            <w:pPr>
              <w:numPr>
                <w:ilvl w:val="0"/>
                <w:numId w:val="18"/>
              </w:numPr>
            </w:pPr>
            <w:r w:rsidRPr="006D3CD6">
              <w:t>The Head, Neck, and Chest </w:t>
            </w:r>
          </w:p>
          <w:p w14:paraId="5C49EFE0" w14:textId="77777777" w:rsidR="00762A78" w:rsidRPr="006D3CD6" w:rsidRDefault="00762A78" w:rsidP="0099693B">
            <w:pPr>
              <w:numPr>
                <w:ilvl w:val="0"/>
                <w:numId w:val="19"/>
              </w:numPr>
            </w:pPr>
            <w:r w:rsidRPr="006D3CD6">
              <w:t>The Face, Jaw</w:t>
            </w:r>
            <w:r>
              <w:t>, Tongue</w:t>
            </w:r>
            <w:r w:rsidRPr="006D3CD6">
              <w:t xml:space="preserve"> and Oral Cavity </w:t>
            </w:r>
          </w:p>
          <w:p w14:paraId="1B8441BD" w14:textId="77777777" w:rsidR="00762A78" w:rsidRPr="006D3CD6" w:rsidRDefault="00762A78" w:rsidP="0099693B">
            <w:pPr>
              <w:numPr>
                <w:ilvl w:val="0"/>
                <w:numId w:val="92"/>
              </w:numPr>
            </w:pPr>
            <w:r w:rsidRPr="006D3CD6">
              <w:t>The Larynx </w:t>
            </w:r>
          </w:p>
          <w:p w14:paraId="3BDAAF93" w14:textId="77777777" w:rsidR="00762A78" w:rsidRPr="006D3CD6" w:rsidRDefault="00762A78" w:rsidP="0099693B">
            <w:pPr>
              <w:numPr>
                <w:ilvl w:val="0"/>
                <w:numId w:val="92"/>
              </w:numPr>
            </w:pPr>
            <w:r w:rsidRPr="006D3CD6">
              <w:t>The Ear  </w:t>
            </w:r>
          </w:p>
          <w:p w14:paraId="4F8E71EB" w14:textId="77777777" w:rsidR="00762A78" w:rsidRPr="006D3CD6" w:rsidRDefault="00762A78" w:rsidP="0099693B">
            <w:pPr>
              <w:numPr>
                <w:ilvl w:val="0"/>
                <w:numId w:val="92"/>
              </w:numPr>
            </w:pPr>
            <w:r w:rsidRPr="006D3CD6">
              <w:t>The Brain </w:t>
            </w:r>
          </w:p>
        </w:tc>
      </w:tr>
      <w:tr w:rsidR="0026477B" w:rsidRPr="006D3CD6" w14:paraId="7FA23A86" w14:textId="77777777" w:rsidTr="0026477B">
        <w:trPr>
          <w:trHeight w:val="300"/>
        </w:trPr>
        <w:tc>
          <w:tcPr>
            <w:tcW w:w="10045" w:type="dxa"/>
            <w:tcBorders>
              <w:top w:val="single" w:sz="6" w:space="0" w:color="auto"/>
              <w:left w:val="single" w:sz="6" w:space="0" w:color="auto"/>
              <w:bottom w:val="single" w:sz="6" w:space="0" w:color="auto"/>
              <w:right w:val="single" w:sz="6" w:space="0" w:color="auto"/>
            </w:tcBorders>
            <w:shd w:val="clear" w:color="auto" w:fill="FFFFFF"/>
            <w:hideMark/>
          </w:tcPr>
          <w:p w14:paraId="0E3AC4F2" w14:textId="1541E58E" w:rsidR="00762A78" w:rsidRPr="006D3CD6" w:rsidRDefault="00762A78">
            <w:r w:rsidRPr="006D3CD6">
              <w:t>Programmes will draw on the principles, the evidence base, and/or expertise from related medical fields where appropriate (indicatively but not necessarily nor exhaustively: neurology, audiology, Ear Nose and Throat (ENT), paediatrics, gerontology, psychiatry, orthodontics, oncology)</w:t>
            </w:r>
            <w:r w:rsidR="000D36DE">
              <w:t>.</w:t>
            </w:r>
            <w:r w:rsidRPr="006D3CD6">
              <w:t> </w:t>
            </w:r>
          </w:p>
        </w:tc>
      </w:tr>
    </w:tbl>
    <w:p w14:paraId="0DAC12E1" w14:textId="77777777" w:rsidR="00762A78" w:rsidRDefault="00762A78" w:rsidP="00762A78"/>
    <w:p w14:paraId="4E000B13" w14:textId="77777777" w:rsidR="00762A78" w:rsidRDefault="00762A78" w:rsidP="00762A78"/>
    <w:tbl>
      <w:tblPr>
        <w:tblW w:w="9915" w:type="dxa"/>
        <w:tblBorders>
          <w:top w:val="outset" w:sz="6" w:space="0" w:color="auto"/>
          <w:left w:val="outset" w:sz="6" w:space="0" w:color="auto"/>
          <w:bottom w:val="outset" w:sz="6" w:space="0" w:color="auto"/>
          <w:right w:val="outset" w:sz="6" w:space="0" w:color="auto"/>
        </w:tblBorders>
        <w:tblCellMar>
          <w:top w:w="57" w:type="dxa"/>
          <w:left w:w="113" w:type="dxa"/>
          <w:right w:w="57" w:type="dxa"/>
        </w:tblCellMar>
        <w:tblLook w:val="04A0" w:firstRow="1" w:lastRow="0" w:firstColumn="1" w:lastColumn="0" w:noHBand="0" w:noVBand="1"/>
      </w:tblPr>
      <w:tblGrid>
        <w:gridCol w:w="9915"/>
      </w:tblGrid>
      <w:tr w:rsidR="0026477B" w:rsidRPr="006D3CD6" w14:paraId="6086E0D9" w14:textId="77777777" w:rsidTr="0026477B">
        <w:trPr>
          <w:trHeight w:val="300"/>
        </w:trPr>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3D5AD414" w14:textId="69CFD189" w:rsidR="00762A78" w:rsidRPr="000D5246" w:rsidRDefault="00762A78">
            <w:pPr>
              <w:rPr>
                <w:sz w:val="28"/>
                <w:szCs w:val="28"/>
              </w:rPr>
            </w:pPr>
            <w:r w:rsidRPr="000D5246">
              <w:rPr>
                <w:b/>
                <w:bCs/>
                <w:sz w:val="28"/>
                <w:szCs w:val="28"/>
              </w:rPr>
              <w:t xml:space="preserve">Psychology, </w:t>
            </w:r>
            <w:r w:rsidR="004C5E6F">
              <w:rPr>
                <w:b/>
                <w:bCs/>
                <w:sz w:val="28"/>
                <w:szCs w:val="28"/>
              </w:rPr>
              <w:t>s</w:t>
            </w:r>
            <w:r w:rsidRPr="000D5246">
              <w:rPr>
                <w:b/>
                <w:bCs/>
                <w:sz w:val="28"/>
                <w:szCs w:val="28"/>
              </w:rPr>
              <w:t xml:space="preserve">ociology and </w:t>
            </w:r>
            <w:r w:rsidR="004C5E6F">
              <w:rPr>
                <w:b/>
                <w:bCs/>
                <w:sz w:val="28"/>
                <w:szCs w:val="28"/>
              </w:rPr>
              <w:t>e</w:t>
            </w:r>
            <w:r w:rsidRPr="000D5246">
              <w:rPr>
                <w:b/>
                <w:bCs/>
                <w:sz w:val="28"/>
                <w:szCs w:val="28"/>
              </w:rPr>
              <w:t>ducation</w:t>
            </w:r>
            <w:r w:rsidRPr="000D5246">
              <w:rPr>
                <w:sz w:val="28"/>
                <w:szCs w:val="28"/>
              </w:rPr>
              <w:t> </w:t>
            </w:r>
          </w:p>
        </w:tc>
      </w:tr>
      <w:tr w:rsidR="0026477B" w:rsidRPr="006D3CD6" w14:paraId="1C475B1E" w14:textId="77777777" w:rsidTr="0026477B">
        <w:trPr>
          <w:trHeight w:val="300"/>
        </w:trPr>
        <w:tc>
          <w:tcPr>
            <w:tcW w:w="9915" w:type="dxa"/>
            <w:tcBorders>
              <w:top w:val="single" w:sz="12" w:space="0" w:color="000000"/>
              <w:left w:val="single" w:sz="6" w:space="0" w:color="auto"/>
              <w:bottom w:val="single" w:sz="12" w:space="0" w:color="000000"/>
              <w:right w:val="single" w:sz="6" w:space="0" w:color="auto"/>
            </w:tcBorders>
            <w:shd w:val="clear" w:color="auto" w:fill="auto"/>
            <w:hideMark/>
          </w:tcPr>
          <w:p w14:paraId="316CE004" w14:textId="77777777" w:rsidR="00762A78" w:rsidRPr="006D3CD6" w:rsidRDefault="00762A78">
            <w:r w:rsidRPr="00E13045">
              <w:rPr>
                <w:b/>
                <w:bCs/>
              </w:rPr>
              <w:t>Psychology and psychological considerations</w:t>
            </w:r>
            <w:r w:rsidRPr="006D3CD6">
              <w:t> </w:t>
            </w:r>
          </w:p>
          <w:p w14:paraId="38DAC49B" w14:textId="77777777" w:rsidR="00762A78" w:rsidRPr="006D3CD6" w:rsidRDefault="00762A78" w:rsidP="0099693B">
            <w:pPr>
              <w:pStyle w:val="ListParagraph"/>
              <w:numPr>
                <w:ilvl w:val="0"/>
                <w:numId w:val="93"/>
              </w:numPr>
            </w:pPr>
            <w:r w:rsidRPr="006D3CD6">
              <w:t>Programmes will draw on the principles, the evidence base, and/or expertise from fields of psychology where appropriate (indicatively but not exhaustively: health, educational, clinical, forensic) in addressing the following: </w:t>
            </w:r>
          </w:p>
          <w:p w14:paraId="3BB54F44" w14:textId="77777777" w:rsidR="00762A78" w:rsidRPr="006D3CD6" w:rsidRDefault="00762A78" w:rsidP="0099693B">
            <w:pPr>
              <w:numPr>
                <w:ilvl w:val="0"/>
                <w:numId w:val="93"/>
              </w:numPr>
            </w:pPr>
            <w:r w:rsidRPr="006D3CD6">
              <w:t>Models of cognition and neuropsychology </w:t>
            </w:r>
          </w:p>
          <w:p w14:paraId="35AEBF31" w14:textId="77777777" w:rsidR="00762A78" w:rsidRPr="006D3CD6" w:rsidRDefault="00762A78" w:rsidP="0099693B">
            <w:pPr>
              <w:numPr>
                <w:ilvl w:val="0"/>
                <w:numId w:val="93"/>
              </w:numPr>
            </w:pPr>
            <w:r w:rsidRPr="006D3CD6">
              <w:t>Typical and atypical psychological processes: </w:t>
            </w:r>
          </w:p>
          <w:p w14:paraId="0BE98C54" w14:textId="77777777" w:rsidR="00762A78" w:rsidRPr="006D3CD6" w:rsidRDefault="00762A78" w:rsidP="0099693B">
            <w:pPr>
              <w:numPr>
                <w:ilvl w:val="1"/>
                <w:numId w:val="93"/>
              </w:numPr>
            </w:pPr>
            <w:r w:rsidRPr="006D3CD6">
              <w:t>motivation </w:t>
            </w:r>
          </w:p>
          <w:p w14:paraId="19B9179C" w14:textId="77777777" w:rsidR="00762A78" w:rsidRPr="006D3CD6" w:rsidRDefault="00762A78" w:rsidP="0099693B">
            <w:pPr>
              <w:numPr>
                <w:ilvl w:val="1"/>
                <w:numId w:val="93"/>
              </w:numPr>
            </w:pPr>
            <w:r w:rsidRPr="006D3CD6">
              <w:t>perception </w:t>
            </w:r>
          </w:p>
          <w:p w14:paraId="6CCB6BC6" w14:textId="77777777" w:rsidR="00762A78" w:rsidRPr="006D3CD6" w:rsidRDefault="00762A78" w:rsidP="0099693B">
            <w:pPr>
              <w:numPr>
                <w:ilvl w:val="1"/>
                <w:numId w:val="93"/>
              </w:numPr>
            </w:pPr>
            <w:r w:rsidRPr="006D3CD6">
              <w:t>attention </w:t>
            </w:r>
          </w:p>
          <w:p w14:paraId="52F27C4C" w14:textId="77777777" w:rsidR="00762A78" w:rsidRPr="006D3CD6" w:rsidRDefault="00762A78" w:rsidP="0099693B">
            <w:pPr>
              <w:numPr>
                <w:ilvl w:val="1"/>
                <w:numId w:val="93"/>
              </w:numPr>
            </w:pPr>
            <w:r w:rsidRPr="006D3CD6">
              <w:t>memory </w:t>
            </w:r>
          </w:p>
          <w:p w14:paraId="3B9742B5" w14:textId="77777777" w:rsidR="00762A78" w:rsidRPr="006D3CD6" w:rsidRDefault="00762A78" w:rsidP="0099693B">
            <w:pPr>
              <w:numPr>
                <w:ilvl w:val="0"/>
                <w:numId w:val="93"/>
              </w:numPr>
            </w:pPr>
            <w:r w:rsidRPr="006D3CD6">
              <w:t>Learning theories </w:t>
            </w:r>
          </w:p>
          <w:p w14:paraId="34E6DE17" w14:textId="77777777" w:rsidR="00762A78" w:rsidRPr="006D3CD6" w:rsidRDefault="00762A78" w:rsidP="0099693B">
            <w:pPr>
              <w:numPr>
                <w:ilvl w:val="0"/>
                <w:numId w:val="93"/>
              </w:numPr>
            </w:pPr>
            <w:r w:rsidRPr="006D3CD6">
              <w:t>Psychological development and change: </w:t>
            </w:r>
          </w:p>
          <w:p w14:paraId="17E2E503" w14:textId="77777777" w:rsidR="00762A78" w:rsidRPr="006D3CD6" w:rsidRDefault="00762A78" w:rsidP="0099693B">
            <w:pPr>
              <w:numPr>
                <w:ilvl w:val="1"/>
                <w:numId w:val="93"/>
              </w:numPr>
            </w:pPr>
            <w:r w:rsidRPr="006D3CD6">
              <w:t>Psychological development across the lifespan, including social and cultural influences </w:t>
            </w:r>
          </w:p>
          <w:p w14:paraId="76785098" w14:textId="77777777" w:rsidR="00762A78" w:rsidRPr="006D3CD6" w:rsidRDefault="00762A78" w:rsidP="0099693B">
            <w:pPr>
              <w:numPr>
                <w:ilvl w:val="1"/>
                <w:numId w:val="93"/>
              </w:numPr>
            </w:pPr>
            <w:r w:rsidRPr="006D3CD6">
              <w:t>Individual differences </w:t>
            </w:r>
          </w:p>
          <w:p w14:paraId="00B8D361" w14:textId="77777777" w:rsidR="00762A78" w:rsidRPr="006D3CD6" w:rsidRDefault="00762A78" w:rsidP="0099693B">
            <w:pPr>
              <w:numPr>
                <w:ilvl w:val="1"/>
                <w:numId w:val="93"/>
              </w:numPr>
            </w:pPr>
            <w:r w:rsidRPr="006D3CD6">
              <w:lastRenderedPageBreak/>
              <w:t>Psychological issues in key life transitions </w:t>
            </w:r>
          </w:p>
          <w:p w14:paraId="4D91E2F7" w14:textId="77777777" w:rsidR="00762A78" w:rsidRPr="006D3CD6" w:rsidRDefault="00762A78" w:rsidP="0099693B">
            <w:pPr>
              <w:numPr>
                <w:ilvl w:val="1"/>
                <w:numId w:val="93"/>
              </w:numPr>
            </w:pPr>
            <w:r w:rsidRPr="006D3CD6">
              <w:t>Factors influencing health beliefs, decisions and behaviours; behaviour change/modification theories and techniques; resilience </w:t>
            </w:r>
          </w:p>
          <w:p w14:paraId="70BCF672" w14:textId="77777777" w:rsidR="00762A78" w:rsidRPr="006D3CD6" w:rsidRDefault="00762A78" w:rsidP="0099693B">
            <w:pPr>
              <w:numPr>
                <w:ilvl w:val="0"/>
                <w:numId w:val="93"/>
              </w:numPr>
            </w:pPr>
            <w:r w:rsidRPr="006D3CD6">
              <w:t>Psychological dimensions to communication, including (but not limited to) implications for counselling skills and knowledge of supportive interaction </w:t>
            </w:r>
          </w:p>
        </w:tc>
      </w:tr>
      <w:tr w:rsidR="0026477B" w:rsidRPr="006D3CD6" w14:paraId="782F695D" w14:textId="77777777" w:rsidTr="0026477B">
        <w:trPr>
          <w:trHeight w:val="300"/>
        </w:trPr>
        <w:tc>
          <w:tcPr>
            <w:tcW w:w="9915" w:type="dxa"/>
            <w:tcBorders>
              <w:top w:val="single" w:sz="12" w:space="0" w:color="000000"/>
              <w:left w:val="single" w:sz="6" w:space="0" w:color="auto"/>
              <w:bottom w:val="single" w:sz="12" w:space="0" w:color="000000"/>
              <w:right w:val="single" w:sz="6" w:space="0" w:color="auto"/>
            </w:tcBorders>
            <w:shd w:val="clear" w:color="auto" w:fill="auto"/>
            <w:hideMark/>
          </w:tcPr>
          <w:p w14:paraId="787F505B" w14:textId="77777777" w:rsidR="00762A78" w:rsidRPr="006D3CD6" w:rsidRDefault="00762A78">
            <w:r w:rsidRPr="00E13045">
              <w:rPr>
                <w:b/>
                <w:bCs/>
              </w:rPr>
              <w:lastRenderedPageBreak/>
              <w:t>Sociology and sociological considerations </w:t>
            </w:r>
            <w:r w:rsidRPr="006D3CD6">
              <w:t> </w:t>
            </w:r>
          </w:p>
          <w:p w14:paraId="473AB7AE" w14:textId="77777777" w:rsidR="00762A78" w:rsidRPr="006D3CD6" w:rsidRDefault="00762A78" w:rsidP="0099693B">
            <w:pPr>
              <w:numPr>
                <w:ilvl w:val="0"/>
                <w:numId w:val="93"/>
              </w:numPr>
            </w:pPr>
            <w:r w:rsidRPr="006D3CD6">
              <w:t>Socialisation and roles, including gender identity </w:t>
            </w:r>
          </w:p>
          <w:p w14:paraId="32A57B62" w14:textId="77777777" w:rsidR="00762A78" w:rsidRPr="006D3CD6" w:rsidRDefault="00762A78" w:rsidP="0099693B">
            <w:pPr>
              <w:numPr>
                <w:ilvl w:val="0"/>
                <w:numId w:val="93"/>
              </w:numPr>
            </w:pPr>
            <w:r w:rsidRPr="006D3CD6">
              <w:t>Cultural diversity </w:t>
            </w:r>
          </w:p>
          <w:p w14:paraId="117B2B08" w14:textId="77777777" w:rsidR="00762A78" w:rsidRPr="006D3CD6" w:rsidRDefault="00762A78" w:rsidP="0099693B">
            <w:pPr>
              <w:numPr>
                <w:ilvl w:val="0"/>
                <w:numId w:val="93"/>
              </w:numPr>
            </w:pPr>
            <w:r w:rsidRPr="006D3CD6">
              <w:t>Social determinants of health </w:t>
            </w:r>
          </w:p>
          <w:p w14:paraId="3D2E8FDF" w14:textId="77777777" w:rsidR="00762A78" w:rsidRPr="006D3CD6" w:rsidRDefault="00762A78" w:rsidP="0099693B">
            <w:pPr>
              <w:numPr>
                <w:ilvl w:val="0"/>
                <w:numId w:val="93"/>
              </w:numPr>
            </w:pPr>
            <w:r w:rsidRPr="006D3CD6">
              <w:t>Social and cultural constructs/models of impairment, disability and participation </w:t>
            </w:r>
          </w:p>
          <w:p w14:paraId="3E52402B" w14:textId="77777777" w:rsidR="00762A78" w:rsidRPr="006D3CD6" w:rsidRDefault="00762A78" w:rsidP="0099693B">
            <w:pPr>
              <w:numPr>
                <w:ilvl w:val="0"/>
                <w:numId w:val="93"/>
              </w:numPr>
            </w:pPr>
            <w:r w:rsidRPr="006D3CD6">
              <w:t>Health inequalities </w:t>
            </w:r>
          </w:p>
          <w:p w14:paraId="74748982" w14:textId="77777777" w:rsidR="00762A78" w:rsidRPr="006D3CD6" w:rsidRDefault="00762A78" w:rsidP="0099693B">
            <w:pPr>
              <w:numPr>
                <w:ilvl w:val="0"/>
                <w:numId w:val="93"/>
              </w:numPr>
            </w:pPr>
            <w:r w:rsidRPr="006D3CD6">
              <w:t>Health care systems </w:t>
            </w:r>
          </w:p>
          <w:p w14:paraId="35CC42E7" w14:textId="77777777" w:rsidR="00762A78" w:rsidRPr="006D3CD6" w:rsidRDefault="00762A78" w:rsidP="0099693B">
            <w:pPr>
              <w:numPr>
                <w:ilvl w:val="0"/>
                <w:numId w:val="93"/>
              </w:numPr>
            </w:pPr>
            <w:r w:rsidRPr="006D3CD6">
              <w:t>Cultural understandings of professionalism </w:t>
            </w:r>
          </w:p>
        </w:tc>
      </w:tr>
      <w:tr w:rsidR="0026477B" w:rsidRPr="006D3CD6" w14:paraId="7613B8EE" w14:textId="77777777" w:rsidTr="0026477B">
        <w:trPr>
          <w:trHeight w:val="300"/>
        </w:trPr>
        <w:tc>
          <w:tcPr>
            <w:tcW w:w="9915" w:type="dxa"/>
            <w:tcBorders>
              <w:top w:val="single" w:sz="12" w:space="0" w:color="000000"/>
              <w:left w:val="single" w:sz="6" w:space="0" w:color="auto"/>
              <w:bottom w:val="single" w:sz="12" w:space="0" w:color="000000"/>
              <w:right w:val="single" w:sz="6" w:space="0" w:color="auto"/>
            </w:tcBorders>
            <w:shd w:val="clear" w:color="auto" w:fill="auto"/>
            <w:hideMark/>
          </w:tcPr>
          <w:p w14:paraId="4DE9FFA2" w14:textId="77777777" w:rsidR="00762A78" w:rsidRPr="006D3CD6" w:rsidRDefault="00762A78">
            <w:r w:rsidRPr="00E13045">
              <w:rPr>
                <w:b/>
                <w:bCs/>
              </w:rPr>
              <w:t>Education and educational considerations </w:t>
            </w:r>
            <w:r w:rsidRPr="006D3CD6">
              <w:t> </w:t>
            </w:r>
          </w:p>
          <w:p w14:paraId="2500C471" w14:textId="77777777" w:rsidR="00762A78" w:rsidRPr="006D3CD6" w:rsidRDefault="00762A78" w:rsidP="0099693B">
            <w:pPr>
              <w:numPr>
                <w:ilvl w:val="0"/>
                <w:numId w:val="93"/>
              </w:numPr>
            </w:pPr>
            <w:r w:rsidRPr="006D3CD6">
              <w:t>Overview of the roles and remits of education professionals </w:t>
            </w:r>
          </w:p>
          <w:p w14:paraId="297CEDAE" w14:textId="77777777" w:rsidR="00762A78" w:rsidRPr="006D3CD6" w:rsidRDefault="00762A78" w:rsidP="0099693B">
            <w:pPr>
              <w:numPr>
                <w:ilvl w:val="0"/>
                <w:numId w:val="93"/>
              </w:numPr>
            </w:pPr>
            <w:r w:rsidRPr="006D3CD6">
              <w:t>Overview of UK educational levels, including Early Years Foundation Stage, Primary Education, and Secondary Education  </w:t>
            </w:r>
          </w:p>
          <w:p w14:paraId="38B702C1" w14:textId="77777777" w:rsidR="00762A78" w:rsidRPr="006D3CD6" w:rsidRDefault="00762A78" w:rsidP="0099693B">
            <w:pPr>
              <w:numPr>
                <w:ilvl w:val="0"/>
                <w:numId w:val="93"/>
              </w:numPr>
            </w:pPr>
            <w:r w:rsidRPr="006D3CD6">
              <w:t>Literacy: development of literacy, relationship between language and literacy, and relationship between spoken and written language abilities </w:t>
            </w:r>
          </w:p>
          <w:p w14:paraId="5FF17815" w14:textId="77777777" w:rsidR="00762A78" w:rsidRPr="006D3CD6" w:rsidRDefault="00762A78" w:rsidP="0099693B">
            <w:pPr>
              <w:numPr>
                <w:ilvl w:val="0"/>
                <w:numId w:val="93"/>
              </w:numPr>
            </w:pPr>
            <w:r w:rsidRPr="006D3CD6">
              <w:t>Approaches to Special Educational Needs and Disabilities provision </w:t>
            </w:r>
          </w:p>
          <w:p w14:paraId="4D98B2E4" w14:textId="77777777" w:rsidR="00762A78" w:rsidRPr="006D3CD6" w:rsidRDefault="00762A78" w:rsidP="0099693B">
            <w:pPr>
              <w:numPr>
                <w:ilvl w:val="0"/>
                <w:numId w:val="93"/>
              </w:numPr>
            </w:pPr>
            <w:r w:rsidRPr="006D3CD6">
              <w:t>Educational environment factors and their impact for communication (e.g. family support, classroom dynamics, social-emotional development factors) </w:t>
            </w:r>
          </w:p>
        </w:tc>
      </w:tr>
    </w:tbl>
    <w:p w14:paraId="6DAA7613" w14:textId="77777777" w:rsidR="00762A78" w:rsidRDefault="00762A78" w:rsidP="00762A78">
      <w:r w:rsidRPr="006D3CD6">
        <w:t> </w:t>
      </w:r>
    </w:p>
    <w:p w14:paraId="7560C596" w14:textId="77777777" w:rsidR="00762A78" w:rsidRPr="006D3CD6" w:rsidRDefault="00762A78" w:rsidP="00762A78"/>
    <w:tbl>
      <w:tblPr>
        <w:tblW w:w="9930" w:type="dxa"/>
        <w:tblInd w:w="-15" w:type="dxa"/>
        <w:tblBorders>
          <w:top w:val="outset" w:sz="6" w:space="0" w:color="auto"/>
          <w:left w:val="outset" w:sz="6" w:space="0" w:color="auto"/>
          <w:bottom w:val="outset" w:sz="6" w:space="0" w:color="auto"/>
          <w:right w:val="outset" w:sz="6" w:space="0" w:color="auto"/>
        </w:tblBorders>
        <w:tblCellMar>
          <w:top w:w="57" w:type="dxa"/>
          <w:left w:w="113" w:type="dxa"/>
          <w:right w:w="57" w:type="dxa"/>
        </w:tblCellMar>
        <w:tblLook w:val="04A0" w:firstRow="1" w:lastRow="0" w:firstColumn="1" w:lastColumn="0" w:noHBand="0" w:noVBand="1"/>
      </w:tblPr>
      <w:tblGrid>
        <w:gridCol w:w="9930"/>
      </w:tblGrid>
      <w:tr w:rsidR="0026477B" w:rsidRPr="006D3CD6" w14:paraId="0770E356" w14:textId="77777777" w:rsidTr="0026477B">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auto"/>
            <w:hideMark/>
          </w:tcPr>
          <w:p w14:paraId="1C8903AE" w14:textId="77777777" w:rsidR="00762A78" w:rsidRPr="000D5246" w:rsidRDefault="00762A78">
            <w:pPr>
              <w:rPr>
                <w:sz w:val="28"/>
                <w:szCs w:val="28"/>
              </w:rPr>
            </w:pPr>
            <w:r w:rsidRPr="000D5246">
              <w:rPr>
                <w:b/>
                <w:bCs/>
                <w:sz w:val="28"/>
                <w:szCs w:val="28"/>
              </w:rPr>
              <w:t>Research skills</w:t>
            </w:r>
            <w:r w:rsidRPr="000D5246">
              <w:rPr>
                <w:rFonts w:ascii="Arial" w:hAnsi="Arial" w:cs="Arial"/>
                <w:b/>
                <w:bCs/>
                <w:sz w:val="28"/>
                <w:szCs w:val="28"/>
              </w:rPr>
              <w:t> </w:t>
            </w:r>
            <w:r w:rsidRPr="000D5246">
              <w:rPr>
                <w:rFonts w:ascii="Arial" w:hAnsi="Arial" w:cs="Arial"/>
                <w:sz w:val="28"/>
                <w:szCs w:val="28"/>
              </w:rPr>
              <w:t> </w:t>
            </w:r>
            <w:r w:rsidRPr="000D5246">
              <w:rPr>
                <w:sz w:val="28"/>
                <w:szCs w:val="28"/>
              </w:rPr>
              <w:t> </w:t>
            </w:r>
          </w:p>
          <w:p w14:paraId="4F5EEB2C" w14:textId="77777777" w:rsidR="00762A78" w:rsidRPr="006D3CD6" w:rsidRDefault="00762A78">
            <w:r w:rsidRPr="006D3CD6">
              <w:t xml:space="preserve">Programmes will draw on the principles, the evidence base, and/or expertise from fields of </w:t>
            </w:r>
            <w:r>
              <w:t>research skills</w:t>
            </w:r>
            <w:r w:rsidRPr="006D3CD6">
              <w:t xml:space="preserve"> where appropriate in addressing the following: </w:t>
            </w:r>
          </w:p>
        </w:tc>
      </w:tr>
      <w:tr w:rsidR="0026477B" w:rsidRPr="006D3CD6" w14:paraId="1BC550F7" w14:textId="77777777" w:rsidTr="0026477B">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auto"/>
            <w:hideMark/>
          </w:tcPr>
          <w:p w14:paraId="10CE0062" w14:textId="77777777" w:rsidR="00762A78" w:rsidRPr="006D3CD6" w:rsidRDefault="00762A78">
            <w:r w:rsidRPr="006D3CD6">
              <w:rPr>
                <w:b/>
                <w:bCs/>
              </w:rPr>
              <w:t>Accessing and appraising evidence</w:t>
            </w:r>
            <w:r w:rsidRPr="006D3CD6">
              <w:rPr>
                <w:rFonts w:ascii="Arial" w:hAnsi="Arial" w:cs="Arial"/>
                <w:b/>
                <w:bCs/>
              </w:rPr>
              <w:t> </w:t>
            </w:r>
            <w:r w:rsidRPr="006D3CD6">
              <w:t> </w:t>
            </w:r>
          </w:p>
          <w:p w14:paraId="49F17489" w14:textId="77777777" w:rsidR="00762A78" w:rsidRPr="006D3CD6" w:rsidRDefault="00762A78" w:rsidP="0099693B">
            <w:pPr>
              <w:numPr>
                <w:ilvl w:val="0"/>
                <w:numId w:val="20"/>
              </w:numPr>
            </w:pPr>
            <w:r w:rsidRPr="006D3CD6">
              <w:t>Models of evidence-based practice</w:t>
            </w:r>
            <w:r w:rsidRPr="000E38D8">
              <w:t xml:space="preserve"> health care</w:t>
            </w:r>
            <w:r w:rsidRPr="000E38D8">
              <w:rPr>
                <w:rFonts w:ascii="Arial" w:hAnsi="Arial" w:cs="Arial"/>
              </w:rPr>
              <w:t> </w:t>
            </w:r>
            <w:r w:rsidRPr="006D3CD6">
              <w:t> </w:t>
            </w:r>
          </w:p>
          <w:p w14:paraId="4F1089CE" w14:textId="77777777" w:rsidR="00762A78" w:rsidRPr="006D3CD6" w:rsidRDefault="00762A78" w:rsidP="0099693B">
            <w:pPr>
              <w:numPr>
                <w:ilvl w:val="0"/>
                <w:numId w:val="21"/>
              </w:numPr>
            </w:pPr>
            <w:r w:rsidRPr="006D3CD6">
              <w:lastRenderedPageBreak/>
              <w:t>Sources of research evidence and resources for finding research evidence in SLT</w:t>
            </w:r>
            <w:r w:rsidRPr="006D3CD6">
              <w:rPr>
                <w:rFonts w:ascii="Arial" w:hAnsi="Arial" w:cs="Arial"/>
              </w:rPr>
              <w:t> </w:t>
            </w:r>
            <w:r w:rsidRPr="006D3CD6">
              <w:t> </w:t>
            </w:r>
          </w:p>
          <w:p w14:paraId="48837C1A" w14:textId="77777777" w:rsidR="00762A78" w:rsidRPr="006D3CD6" w:rsidRDefault="00762A78" w:rsidP="0099693B">
            <w:pPr>
              <w:numPr>
                <w:ilvl w:val="0"/>
                <w:numId w:val="22"/>
              </w:numPr>
            </w:pPr>
            <w:r w:rsidRPr="006D3CD6">
              <w:t>Critical appraisal tools for a range of qualitative and quantitative methodologies</w:t>
            </w:r>
            <w:r w:rsidRPr="006D3CD6">
              <w:rPr>
                <w:rFonts w:ascii="Arial" w:hAnsi="Arial" w:cs="Arial"/>
              </w:rPr>
              <w:t> </w:t>
            </w:r>
            <w:r w:rsidRPr="006D3CD6">
              <w:t> </w:t>
            </w:r>
          </w:p>
          <w:p w14:paraId="773CCA3B" w14:textId="77777777" w:rsidR="00762A78" w:rsidRPr="006D3CD6" w:rsidRDefault="00762A78" w:rsidP="0099693B">
            <w:pPr>
              <w:numPr>
                <w:ilvl w:val="0"/>
                <w:numId w:val="23"/>
              </w:numPr>
              <w:ind w:left="1080"/>
            </w:pPr>
            <w:r w:rsidRPr="006D3CD6">
              <w:t>Guidelines / specific frameworks for appraising evidence</w:t>
            </w:r>
            <w:r w:rsidRPr="006D3CD6">
              <w:rPr>
                <w:rFonts w:ascii="Arial" w:hAnsi="Arial" w:cs="Arial"/>
              </w:rPr>
              <w:t> </w:t>
            </w:r>
            <w:r w:rsidRPr="006D3CD6">
              <w:t> </w:t>
            </w:r>
          </w:p>
          <w:p w14:paraId="72274300" w14:textId="77777777" w:rsidR="00762A78" w:rsidRPr="006D3CD6" w:rsidRDefault="00762A78" w:rsidP="0099693B">
            <w:pPr>
              <w:numPr>
                <w:ilvl w:val="0"/>
                <w:numId w:val="24"/>
              </w:numPr>
              <w:ind w:left="1080"/>
            </w:pPr>
            <w:r w:rsidRPr="006D3CD6">
              <w:t>Critical appraisal of published research in SLT</w:t>
            </w:r>
            <w:r w:rsidRPr="006D3CD6">
              <w:rPr>
                <w:rFonts w:ascii="Arial" w:hAnsi="Arial" w:cs="Arial"/>
              </w:rPr>
              <w:t> </w:t>
            </w:r>
            <w:r w:rsidRPr="006D3CD6">
              <w:t> </w:t>
            </w:r>
          </w:p>
          <w:p w14:paraId="674243B8" w14:textId="77777777" w:rsidR="00762A78" w:rsidRPr="006D3CD6" w:rsidRDefault="00762A78" w:rsidP="0099693B">
            <w:pPr>
              <w:numPr>
                <w:ilvl w:val="0"/>
                <w:numId w:val="25"/>
              </w:numPr>
              <w:ind w:left="1080"/>
            </w:pPr>
            <w:r w:rsidRPr="006D3CD6">
              <w:t>Examples of reporting guidelines that published research should follow</w:t>
            </w:r>
            <w:r w:rsidRPr="006D3CD6">
              <w:rPr>
                <w:rFonts w:ascii="Arial" w:hAnsi="Arial" w:cs="Arial"/>
              </w:rPr>
              <w:t> </w:t>
            </w:r>
            <w:r w:rsidRPr="006D3CD6">
              <w:t> </w:t>
            </w:r>
          </w:p>
          <w:p w14:paraId="742CD942" w14:textId="77777777" w:rsidR="00762A78" w:rsidRPr="006D3CD6" w:rsidRDefault="00762A78" w:rsidP="0099693B">
            <w:pPr>
              <w:numPr>
                <w:ilvl w:val="0"/>
                <w:numId w:val="26"/>
              </w:numPr>
            </w:pPr>
            <w:r w:rsidRPr="006D3CD6">
              <w:t>Grading of evidence for qualitative and quantitative methods</w:t>
            </w:r>
            <w:r w:rsidRPr="006D3CD6">
              <w:rPr>
                <w:rFonts w:ascii="Arial" w:hAnsi="Arial" w:cs="Arial"/>
              </w:rPr>
              <w:t> </w:t>
            </w:r>
            <w:r w:rsidRPr="006D3CD6">
              <w:t> </w:t>
            </w:r>
          </w:p>
          <w:p w14:paraId="7797BCFF" w14:textId="77777777" w:rsidR="00762A78" w:rsidRPr="006D3CD6" w:rsidRDefault="00762A78" w:rsidP="0099693B">
            <w:pPr>
              <w:numPr>
                <w:ilvl w:val="0"/>
                <w:numId w:val="27"/>
              </w:numPr>
            </w:pPr>
            <w:r w:rsidRPr="006D3CD6">
              <w:t>Systematic literature searching methods</w:t>
            </w:r>
            <w:r w:rsidRPr="006D3CD6">
              <w:rPr>
                <w:rFonts w:ascii="Arial" w:hAnsi="Arial" w:cs="Arial"/>
              </w:rPr>
              <w:t> </w:t>
            </w:r>
            <w:r w:rsidRPr="006D3CD6">
              <w:t> </w:t>
            </w:r>
          </w:p>
          <w:p w14:paraId="133A84CA" w14:textId="77777777" w:rsidR="00762A78" w:rsidRPr="006D3CD6" w:rsidRDefault="00762A78" w:rsidP="0099693B">
            <w:pPr>
              <w:numPr>
                <w:ilvl w:val="0"/>
                <w:numId w:val="28"/>
              </w:numPr>
            </w:pPr>
            <w:r w:rsidRPr="006D3CD6">
              <w:t>Interpreting systematic reviews, meta-analyses, economic evaluations and the evidence base for clinical guidelines.</w:t>
            </w:r>
            <w:r w:rsidRPr="006D3CD6">
              <w:rPr>
                <w:rFonts w:ascii="Arial" w:hAnsi="Arial" w:cs="Arial"/>
              </w:rPr>
              <w:t> </w:t>
            </w:r>
            <w:r w:rsidRPr="006D3CD6">
              <w:t> </w:t>
            </w:r>
          </w:p>
          <w:p w14:paraId="4705007D" w14:textId="77777777" w:rsidR="00762A78" w:rsidRPr="006D3CD6" w:rsidRDefault="00762A78" w:rsidP="0099693B">
            <w:pPr>
              <w:numPr>
                <w:ilvl w:val="0"/>
                <w:numId w:val="29"/>
              </w:numPr>
            </w:pPr>
            <w:r w:rsidRPr="006D3CD6">
              <w:t>Clinical versus statistical significance</w:t>
            </w:r>
            <w:r w:rsidRPr="006D3CD6">
              <w:rPr>
                <w:rFonts w:ascii="Arial" w:hAnsi="Arial" w:cs="Arial"/>
              </w:rPr>
              <w:t> </w:t>
            </w:r>
            <w:r w:rsidRPr="006D3CD6">
              <w:t> </w:t>
            </w:r>
          </w:p>
          <w:p w14:paraId="25F0A3B6" w14:textId="77777777" w:rsidR="00762A78" w:rsidRPr="006D3CD6" w:rsidRDefault="00762A78" w:rsidP="0099693B">
            <w:pPr>
              <w:numPr>
                <w:ilvl w:val="0"/>
                <w:numId w:val="30"/>
              </w:numPr>
            </w:pPr>
            <w:r w:rsidRPr="006D3CD6">
              <w:t>Efficacy, effectiveness and cost-effectiveness</w:t>
            </w:r>
            <w:r w:rsidRPr="006D3CD6">
              <w:rPr>
                <w:rFonts w:ascii="Arial" w:hAnsi="Arial" w:cs="Arial"/>
              </w:rPr>
              <w:t> </w:t>
            </w:r>
            <w:r w:rsidRPr="006D3CD6">
              <w:t> </w:t>
            </w:r>
          </w:p>
        </w:tc>
      </w:tr>
      <w:tr w:rsidR="0026477B" w:rsidRPr="006D3CD6" w14:paraId="0C457842" w14:textId="77777777" w:rsidTr="0026477B">
        <w:trPr>
          <w:trHeight w:val="300"/>
        </w:trPr>
        <w:tc>
          <w:tcPr>
            <w:tcW w:w="9930" w:type="dxa"/>
            <w:tcBorders>
              <w:top w:val="single" w:sz="6" w:space="0" w:color="auto"/>
              <w:left w:val="single" w:sz="6" w:space="0" w:color="auto"/>
              <w:bottom w:val="single" w:sz="6" w:space="0" w:color="auto"/>
              <w:right w:val="single" w:sz="6" w:space="0" w:color="auto"/>
            </w:tcBorders>
            <w:shd w:val="clear" w:color="auto" w:fill="auto"/>
            <w:hideMark/>
          </w:tcPr>
          <w:p w14:paraId="7BBFD105" w14:textId="77777777" w:rsidR="00762A78" w:rsidRPr="006D3CD6" w:rsidRDefault="00762A78">
            <w:r w:rsidRPr="006D3CD6">
              <w:rPr>
                <w:b/>
                <w:bCs/>
              </w:rPr>
              <w:lastRenderedPageBreak/>
              <w:t>Research design and process</w:t>
            </w:r>
            <w:r w:rsidRPr="006D3CD6">
              <w:rPr>
                <w:rFonts w:ascii="Arial" w:hAnsi="Arial" w:cs="Arial"/>
                <w:b/>
                <w:bCs/>
              </w:rPr>
              <w:t> </w:t>
            </w:r>
            <w:r w:rsidRPr="006D3CD6">
              <w:t> </w:t>
            </w:r>
          </w:p>
          <w:p w14:paraId="08C29CFD" w14:textId="77777777" w:rsidR="00762A78" w:rsidRPr="006D3CD6" w:rsidRDefault="00762A78" w:rsidP="0099693B">
            <w:pPr>
              <w:numPr>
                <w:ilvl w:val="0"/>
                <w:numId w:val="31"/>
              </w:numPr>
            </w:pPr>
            <w:r w:rsidRPr="006D3CD6">
              <w:rPr>
                <w:b/>
                <w:bCs/>
              </w:rPr>
              <w:t>Patient and public involvement in research</w:t>
            </w:r>
            <w:r w:rsidRPr="006D3CD6">
              <w:rPr>
                <w:rFonts w:ascii="Arial" w:hAnsi="Arial" w:cs="Arial"/>
                <w:b/>
                <w:bCs/>
              </w:rPr>
              <w:t> </w:t>
            </w:r>
            <w:r w:rsidRPr="006D3CD6">
              <w:t> </w:t>
            </w:r>
          </w:p>
          <w:p w14:paraId="2D0D463E" w14:textId="77777777" w:rsidR="00762A78" w:rsidRPr="006D3CD6" w:rsidRDefault="00762A78" w:rsidP="0099693B">
            <w:pPr>
              <w:numPr>
                <w:ilvl w:val="0"/>
                <w:numId w:val="32"/>
              </w:numPr>
              <w:ind w:left="1080"/>
            </w:pPr>
            <w:r w:rsidRPr="006D3CD6">
              <w:t>Importance and levels of involvement</w:t>
            </w:r>
            <w:r w:rsidRPr="006D3CD6">
              <w:rPr>
                <w:rFonts w:ascii="Arial" w:hAnsi="Arial" w:cs="Arial"/>
              </w:rPr>
              <w:t> </w:t>
            </w:r>
            <w:r w:rsidRPr="006D3CD6">
              <w:t> </w:t>
            </w:r>
          </w:p>
          <w:p w14:paraId="714C7211" w14:textId="77777777" w:rsidR="00762A78" w:rsidRPr="006D3CD6" w:rsidRDefault="00762A78" w:rsidP="0099693B">
            <w:pPr>
              <w:numPr>
                <w:ilvl w:val="0"/>
                <w:numId w:val="33"/>
              </w:numPr>
              <w:ind w:left="1080"/>
            </w:pPr>
            <w:r w:rsidRPr="006D3CD6">
              <w:t>Making involvement accessible and equitable for those with speech, language and communication needs</w:t>
            </w:r>
            <w:r w:rsidRPr="006D3CD6">
              <w:rPr>
                <w:rFonts w:ascii="Arial" w:hAnsi="Arial" w:cs="Arial"/>
              </w:rPr>
              <w:t> </w:t>
            </w:r>
            <w:r w:rsidRPr="006D3CD6">
              <w:t> </w:t>
            </w:r>
          </w:p>
          <w:p w14:paraId="1CC0E333" w14:textId="77777777" w:rsidR="00762A78" w:rsidRPr="006D3CD6" w:rsidRDefault="00762A78" w:rsidP="0099693B">
            <w:pPr>
              <w:numPr>
                <w:ilvl w:val="0"/>
                <w:numId w:val="34"/>
              </w:numPr>
            </w:pPr>
            <w:r w:rsidRPr="006D3CD6">
              <w:rPr>
                <w:b/>
                <w:bCs/>
              </w:rPr>
              <w:t>Ethical considerations in research</w:t>
            </w:r>
            <w:r w:rsidRPr="006D3CD6">
              <w:rPr>
                <w:rFonts w:ascii="Arial" w:hAnsi="Arial" w:cs="Arial"/>
                <w:b/>
                <w:bCs/>
              </w:rPr>
              <w:t> </w:t>
            </w:r>
            <w:r w:rsidRPr="006D3CD6">
              <w:t> </w:t>
            </w:r>
          </w:p>
          <w:p w14:paraId="2ED8DA18" w14:textId="77777777" w:rsidR="00762A78" w:rsidRPr="006D3CD6" w:rsidRDefault="00762A78" w:rsidP="0099693B">
            <w:pPr>
              <w:numPr>
                <w:ilvl w:val="0"/>
                <w:numId w:val="35"/>
              </w:numPr>
              <w:ind w:left="1080"/>
            </w:pPr>
            <w:r w:rsidRPr="006D3CD6">
              <w:t>Informed consent procedures, adaptations when working with speech, language and communication needs</w:t>
            </w:r>
            <w:r w:rsidRPr="006D3CD6">
              <w:rPr>
                <w:rFonts w:ascii="Arial" w:hAnsi="Arial" w:cs="Arial"/>
              </w:rPr>
              <w:t> </w:t>
            </w:r>
            <w:r w:rsidRPr="006D3CD6">
              <w:t> </w:t>
            </w:r>
          </w:p>
          <w:p w14:paraId="503397E5" w14:textId="77777777" w:rsidR="00762A78" w:rsidRPr="006D3CD6" w:rsidRDefault="00762A78" w:rsidP="0099693B">
            <w:pPr>
              <w:numPr>
                <w:ilvl w:val="0"/>
                <w:numId w:val="36"/>
              </w:numPr>
              <w:ind w:left="1080"/>
            </w:pPr>
            <w:r w:rsidRPr="006D3CD6">
              <w:t>Research governance</w:t>
            </w:r>
            <w:r w:rsidRPr="006D3CD6">
              <w:rPr>
                <w:rFonts w:ascii="Arial" w:hAnsi="Arial" w:cs="Arial"/>
              </w:rPr>
              <w:t> </w:t>
            </w:r>
            <w:r w:rsidRPr="006D3CD6">
              <w:t> </w:t>
            </w:r>
          </w:p>
          <w:p w14:paraId="6657097A" w14:textId="77777777" w:rsidR="00762A78" w:rsidRPr="006D3CD6" w:rsidRDefault="00762A78" w:rsidP="0099693B">
            <w:pPr>
              <w:numPr>
                <w:ilvl w:val="0"/>
                <w:numId w:val="37"/>
              </w:numPr>
            </w:pPr>
            <w:r w:rsidRPr="006D3CD6">
              <w:rPr>
                <w:b/>
                <w:bCs/>
              </w:rPr>
              <w:t>Qualitative and quantitative research methodologies</w:t>
            </w:r>
            <w:r w:rsidRPr="006D3CD6">
              <w:rPr>
                <w:rFonts w:ascii="Arial" w:hAnsi="Arial" w:cs="Arial"/>
                <w:b/>
                <w:bCs/>
              </w:rPr>
              <w:t> </w:t>
            </w:r>
            <w:r w:rsidRPr="006D3CD6">
              <w:t> </w:t>
            </w:r>
          </w:p>
          <w:p w14:paraId="34136CA1" w14:textId="77777777" w:rsidR="00762A78" w:rsidRPr="006D3CD6" w:rsidRDefault="00762A78" w:rsidP="0099693B">
            <w:pPr>
              <w:numPr>
                <w:ilvl w:val="0"/>
                <w:numId w:val="38"/>
              </w:numPr>
              <w:ind w:left="1080"/>
            </w:pPr>
            <w:r w:rsidRPr="006D3CD6">
              <w:t>Research aims and questions</w:t>
            </w:r>
            <w:r w:rsidRPr="006D3CD6">
              <w:rPr>
                <w:rFonts w:ascii="Arial" w:hAnsi="Arial" w:cs="Arial"/>
              </w:rPr>
              <w:t> </w:t>
            </w:r>
            <w:r w:rsidRPr="006D3CD6">
              <w:t> </w:t>
            </w:r>
          </w:p>
          <w:p w14:paraId="683B3820" w14:textId="77777777" w:rsidR="00762A78" w:rsidRPr="006D3CD6" w:rsidRDefault="00762A78" w:rsidP="0099693B">
            <w:pPr>
              <w:numPr>
                <w:ilvl w:val="0"/>
                <w:numId w:val="39"/>
              </w:numPr>
              <w:ind w:left="1080"/>
            </w:pPr>
            <w:r w:rsidRPr="006D3CD6">
              <w:t>Hypotheses for quantitative methods</w:t>
            </w:r>
            <w:r w:rsidRPr="006D3CD6">
              <w:rPr>
                <w:rFonts w:ascii="Arial" w:hAnsi="Arial" w:cs="Arial"/>
              </w:rPr>
              <w:t> </w:t>
            </w:r>
            <w:r w:rsidRPr="006D3CD6">
              <w:t> </w:t>
            </w:r>
          </w:p>
          <w:p w14:paraId="42E50315" w14:textId="77777777" w:rsidR="00762A78" w:rsidRPr="006D3CD6" w:rsidRDefault="00762A78" w:rsidP="0099693B">
            <w:pPr>
              <w:numPr>
                <w:ilvl w:val="0"/>
                <w:numId w:val="40"/>
              </w:numPr>
              <w:ind w:left="1080"/>
            </w:pPr>
            <w:r w:rsidRPr="006D3CD6">
              <w:t>Study design</w:t>
            </w:r>
            <w:r w:rsidRPr="006D3CD6">
              <w:rPr>
                <w:rFonts w:ascii="Arial" w:hAnsi="Arial" w:cs="Arial"/>
              </w:rPr>
              <w:t> </w:t>
            </w:r>
            <w:r w:rsidRPr="006D3CD6">
              <w:t> </w:t>
            </w:r>
          </w:p>
          <w:p w14:paraId="66B42633" w14:textId="77777777" w:rsidR="00762A78" w:rsidRPr="006D3CD6" w:rsidRDefault="00762A78" w:rsidP="0099693B">
            <w:pPr>
              <w:numPr>
                <w:ilvl w:val="0"/>
                <w:numId w:val="41"/>
              </w:numPr>
              <w:ind w:left="1080"/>
            </w:pPr>
            <w:r w:rsidRPr="006D3CD6">
              <w:t>Data collection</w:t>
            </w:r>
            <w:r w:rsidRPr="006D3CD6">
              <w:rPr>
                <w:rFonts w:ascii="Arial" w:hAnsi="Arial" w:cs="Arial"/>
              </w:rPr>
              <w:t> </w:t>
            </w:r>
            <w:r w:rsidRPr="006D3CD6">
              <w:t> </w:t>
            </w:r>
          </w:p>
          <w:p w14:paraId="282A701C" w14:textId="77777777" w:rsidR="00762A78" w:rsidRPr="006D3CD6" w:rsidRDefault="00762A78" w:rsidP="0099693B">
            <w:pPr>
              <w:numPr>
                <w:ilvl w:val="0"/>
                <w:numId w:val="42"/>
              </w:numPr>
              <w:ind w:left="1080"/>
            </w:pPr>
            <w:r w:rsidRPr="006D3CD6">
              <w:t>Data management</w:t>
            </w:r>
            <w:r w:rsidRPr="006D3CD6">
              <w:rPr>
                <w:rFonts w:ascii="Arial" w:hAnsi="Arial" w:cs="Arial"/>
              </w:rPr>
              <w:t>  </w:t>
            </w:r>
            <w:r w:rsidRPr="006D3CD6">
              <w:t> </w:t>
            </w:r>
          </w:p>
          <w:p w14:paraId="7F1BA621" w14:textId="77777777" w:rsidR="00762A78" w:rsidRPr="006D3CD6" w:rsidRDefault="00762A78" w:rsidP="0099693B">
            <w:pPr>
              <w:numPr>
                <w:ilvl w:val="0"/>
                <w:numId w:val="43"/>
              </w:numPr>
            </w:pPr>
            <w:r w:rsidRPr="006D3CD6">
              <w:rPr>
                <w:b/>
                <w:bCs/>
              </w:rPr>
              <w:t>Data analysis for qualitative and quantitative methods</w:t>
            </w:r>
            <w:r w:rsidRPr="006D3CD6">
              <w:rPr>
                <w:rFonts w:ascii="Arial" w:hAnsi="Arial" w:cs="Arial"/>
                <w:b/>
                <w:bCs/>
              </w:rPr>
              <w:t> </w:t>
            </w:r>
            <w:r w:rsidRPr="006D3CD6">
              <w:t> </w:t>
            </w:r>
          </w:p>
          <w:p w14:paraId="62C13686" w14:textId="77777777" w:rsidR="00762A78" w:rsidRPr="006D3CD6" w:rsidRDefault="00762A78" w:rsidP="0099693B">
            <w:pPr>
              <w:numPr>
                <w:ilvl w:val="0"/>
                <w:numId w:val="44"/>
              </w:numPr>
              <w:ind w:left="1080"/>
            </w:pPr>
            <w:r w:rsidRPr="006D3CD6">
              <w:t>Analysis methods and tools</w:t>
            </w:r>
            <w:r w:rsidRPr="006D3CD6">
              <w:rPr>
                <w:rFonts w:ascii="Arial" w:hAnsi="Arial" w:cs="Arial"/>
              </w:rPr>
              <w:t> </w:t>
            </w:r>
            <w:r w:rsidRPr="006D3CD6">
              <w:t> </w:t>
            </w:r>
          </w:p>
          <w:p w14:paraId="29559A28" w14:textId="77777777" w:rsidR="00762A78" w:rsidRPr="006D3CD6" w:rsidRDefault="00762A78" w:rsidP="0099693B">
            <w:pPr>
              <w:numPr>
                <w:ilvl w:val="0"/>
                <w:numId w:val="45"/>
              </w:numPr>
              <w:ind w:left="1080"/>
            </w:pPr>
            <w:r w:rsidRPr="006D3CD6">
              <w:t>Interpretation of data and results of common statistical tests</w:t>
            </w:r>
            <w:r w:rsidRPr="006D3CD6">
              <w:rPr>
                <w:rFonts w:ascii="Arial" w:hAnsi="Arial" w:cs="Arial"/>
              </w:rPr>
              <w:t> </w:t>
            </w:r>
            <w:r w:rsidRPr="006D3CD6">
              <w:t> </w:t>
            </w:r>
          </w:p>
          <w:p w14:paraId="5407C473" w14:textId="77777777" w:rsidR="00762A78" w:rsidRPr="006D3CD6" w:rsidRDefault="00762A78" w:rsidP="0099693B">
            <w:pPr>
              <w:numPr>
                <w:ilvl w:val="0"/>
                <w:numId w:val="46"/>
              </w:numPr>
              <w:ind w:left="1080"/>
            </w:pPr>
            <w:r w:rsidRPr="006D3CD6">
              <w:lastRenderedPageBreak/>
              <w:t>Reporting and presentation of data</w:t>
            </w:r>
            <w:r w:rsidRPr="006D3CD6">
              <w:rPr>
                <w:rFonts w:ascii="Arial" w:hAnsi="Arial" w:cs="Arial"/>
              </w:rPr>
              <w:t> </w:t>
            </w:r>
            <w:r w:rsidRPr="006D3CD6">
              <w:t> </w:t>
            </w:r>
          </w:p>
          <w:p w14:paraId="49085A66" w14:textId="77777777" w:rsidR="00762A78" w:rsidRPr="006D3CD6" w:rsidRDefault="00762A78" w:rsidP="0099693B">
            <w:pPr>
              <w:numPr>
                <w:ilvl w:val="0"/>
                <w:numId w:val="47"/>
              </w:numPr>
            </w:pPr>
            <w:r w:rsidRPr="006D3CD6">
              <w:rPr>
                <w:b/>
                <w:bCs/>
              </w:rPr>
              <w:t>Clinical and professional applications of research skills</w:t>
            </w:r>
            <w:r w:rsidRPr="006D3CD6">
              <w:rPr>
                <w:rFonts w:ascii="Arial" w:hAnsi="Arial" w:cs="Arial"/>
                <w:b/>
                <w:bCs/>
              </w:rPr>
              <w:t> </w:t>
            </w:r>
            <w:r w:rsidRPr="006D3CD6">
              <w:t> </w:t>
            </w:r>
          </w:p>
          <w:p w14:paraId="6080E71A" w14:textId="77777777" w:rsidR="00762A78" w:rsidRPr="006D3CD6" w:rsidRDefault="00762A78" w:rsidP="0099693B">
            <w:pPr>
              <w:numPr>
                <w:ilvl w:val="0"/>
                <w:numId w:val="48"/>
              </w:numPr>
            </w:pPr>
            <w:r w:rsidRPr="006D3CD6">
              <w:rPr>
                <w:b/>
                <w:bCs/>
              </w:rPr>
              <w:t>Implementing research evidence in clinical practice</w:t>
            </w:r>
            <w:r w:rsidRPr="006D3CD6">
              <w:rPr>
                <w:rFonts w:ascii="Arial" w:hAnsi="Arial" w:cs="Arial"/>
                <w:b/>
                <w:bCs/>
              </w:rPr>
              <w:t> </w:t>
            </w:r>
            <w:r w:rsidRPr="006D3CD6">
              <w:t> </w:t>
            </w:r>
          </w:p>
          <w:p w14:paraId="4C2EA770" w14:textId="77777777" w:rsidR="00762A78" w:rsidRPr="00D416FB" w:rsidRDefault="00762A78" w:rsidP="0099693B">
            <w:pPr>
              <w:pStyle w:val="ListParagraph"/>
              <w:numPr>
                <w:ilvl w:val="0"/>
                <w:numId w:val="48"/>
              </w:numPr>
              <w:rPr>
                <w:b/>
                <w:bCs/>
              </w:rPr>
            </w:pPr>
            <w:r w:rsidRPr="00D416FB">
              <w:rPr>
                <w:b/>
                <w:bCs/>
              </w:rPr>
              <w:t>Quality Improvement </w:t>
            </w:r>
          </w:p>
          <w:p w14:paraId="34DA491B" w14:textId="77777777" w:rsidR="00762A78" w:rsidRPr="006D3CD6" w:rsidRDefault="00762A78" w:rsidP="0099693B">
            <w:pPr>
              <w:numPr>
                <w:ilvl w:val="0"/>
                <w:numId w:val="49"/>
              </w:numPr>
            </w:pPr>
            <w:r w:rsidRPr="006D3CD6">
              <w:rPr>
                <w:b/>
                <w:bCs/>
              </w:rPr>
              <w:t>Outcome measures for a range of purposes</w:t>
            </w:r>
            <w:r w:rsidRPr="006D3CD6">
              <w:rPr>
                <w:rFonts w:ascii="Arial" w:hAnsi="Arial" w:cs="Arial"/>
                <w:b/>
                <w:bCs/>
              </w:rPr>
              <w:t> </w:t>
            </w:r>
            <w:r w:rsidRPr="006D3CD6">
              <w:t> </w:t>
            </w:r>
          </w:p>
          <w:p w14:paraId="35336D59" w14:textId="77777777" w:rsidR="00762A78" w:rsidRPr="006D3CD6" w:rsidRDefault="00762A78" w:rsidP="0099693B">
            <w:pPr>
              <w:numPr>
                <w:ilvl w:val="0"/>
                <w:numId w:val="50"/>
              </w:numPr>
              <w:ind w:left="1080"/>
            </w:pPr>
            <w:r w:rsidRPr="006D3CD6">
              <w:t>Collecting, analysing and interpreting outcome measures</w:t>
            </w:r>
            <w:r w:rsidRPr="006D3CD6">
              <w:rPr>
                <w:rFonts w:ascii="Arial" w:hAnsi="Arial" w:cs="Arial"/>
              </w:rPr>
              <w:t> </w:t>
            </w:r>
            <w:r w:rsidRPr="006D3CD6">
              <w:t> </w:t>
            </w:r>
          </w:p>
          <w:p w14:paraId="10F6AF53" w14:textId="77777777" w:rsidR="00762A78" w:rsidRPr="006D3CD6" w:rsidRDefault="00762A78" w:rsidP="0099693B">
            <w:pPr>
              <w:numPr>
                <w:ilvl w:val="0"/>
                <w:numId w:val="51"/>
              </w:numPr>
              <w:ind w:left="1080"/>
            </w:pPr>
            <w:r w:rsidRPr="006D3CD6">
              <w:t>Patient-reported outcome measures (PROMS)</w:t>
            </w:r>
            <w:r w:rsidRPr="006D3CD6">
              <w:rPr>
                <w:rFonts w:ascii="Arial" w:hAnsi="Arial" w:cs="Arial"/>
              </w:rPr>
              <w:t> </w:t>
            </w:r>
            <w:r w:rsidRPr="006D3CD6">
              <w:t> </w:t>
            </w:r>
          </w:p>
          <w:p w14:paraId="62B0BB46" w14:textId="77777777" w:rsidR="00762A78" w:rsidRPr="006D3CD6" w:rsidRDefault="00762A78" w:rsidP="0099693B">
            <w:pPr>
              <w:numPr>
                <w:ilvl w:val="0"/>
                <w:numId w:val="52"/>
              </w:numPr>
            </w:pPr>
            <w:r w:rsidRPr="006D3CD6">
              <w:rPr>
                <w:b/>
                <w:bCs/>
              </w:rPr>
              <w:t>Service evaluation</w:t>
            </w:r>
            <w:r w:rsidRPr="006D3CD6">
              <w:rPr>
                <w:rFonts w:ascii="Arial" w:hAnsi="Arial" w:cs="Arial"/>
                <w:b/>
                <w:bCs/>
              </w:rPr>
              <w:t>  </w:t>
            </w:r>
            <w:r w:rsidRPr="006D3CD6">
              <w:t> </w:t>
            </w:r>
          </w:p>
          <w:p w14:paraId="310D4825" w14:textId="77777777" w:rsidR="00762A78" w:rsidRPr="006D3CD6" w:rsidRDefault="00762A78" w:rsidP="0099693B">
            <w:pPr>
              <w:numPr>
                <w:ilvl w:val="0"/>
                <w:numId w:val="53"/>
              </w:numPr>
              <w:ind w:left="1080"/>
            </w:pPr>
            <w:r w:rsidRPr="006D3CD6">
              <w:t>National and local audit and implications for speech and language therapy practice</w:t>
            </w:r>
            <w:r w:rsidRPr="006D3CD6">
              <w:rPr>
                <w:rFonts w:ascii="Arial" w:hAnsi="Arial" w:cs="Arial"/>
              </w:rPr>
              <w:t> </w:t>
            </w:r>
            <w:r w:rsidRPr="006D3CD6">
              <w:t> </w:t>
            </w:r>
          </w:p>
          <w:p w14:paraId="65957381" w14:textId="77777777" w:rsidR="00762A78" w:rsidRPr="006D3CD6" w:rsidRDefault="00762A78" w:rsidP="0099693B">
            <w:pPr>
              <w:numPr>
                <w:ilvl w:val="0"/>
                <w:numId w:val="54"/>
              </w:numPr>
              <w:ind w:left="1080"/>
            </w:pPr>
            <w:r w:rsidRPr="006D3CD6">
              <w:t>National and local quality standards relevant to speech and language therapy practice</w:t>
            </w:r>
            <w:r w:rsidRPr="006D3CD6">
              <w:rPr>
                <w:rFonts w:ascii="Arial" w:hAnsi="Arial" w:cs="Arial"/>
              </w:rPr>
              <w:t> </w:t>
            </w:r>
            <w:r w:rsidRPr="006D3CD6">
              <w:t> </w:t>
            </w:r>
          </w:p>
          <w:p w14:paraId="317D0151" w14:textId="77777777" w:rsidR="00762A78" w:rsidRPr="006D3CD6" w:rsidRDefault="00762A78" w:rsidP="0099693B">
            <w:pPr>
              <w:numPr>
                <w:ilvl w:val="0"/>
                <w:numId w:val="55"/>
              </w:numPr>
              <w:ind w:left="1080"/>
            </w:pPr>
            <w:r w:rsidRPr="006D3CD6">
              <w:t>Patient and public involvement in service evaluation and development</w:t>
            </w:r>
            <w:r w:rsidRPr="006D3CD6">
              <w:rPr>
                <w:rFonts w:ascii="Arial" w:hAnsi="Arial" w:cs="Arial"/>
              </w:rPr>
              <w:t> </w:t>
            </w:r>
            <w:r w:rsidRPr="006D3CD6">
              <w:t> </w:t>
            </w:r>
          </w:p>
          <w:p w14:paraId="23A85805" w14:textId="77777777" w:rsidR="00762A78" w:rsidRPr="006D3CD6" w:rsidRDefault="00762A78">
            <w:pPr>
              <w:ind w:left="360"/>
            </w:pPr>
          </w:p>
        </w:tc>
      </w:tr>
    </w:tbl>
    <w:p w14:paraId="6023378B" w14:textId="77777777" w:rsidR="00762A78" w:rsidRDefault="00762A78" w:rsidP="00762A78">
      <w:pPr>
        <w:rPr>
          <w:rFonts w:ascii="Arial" w:hAnsi="Arial" w:cs="Arial"/>
        </w:rPr>
      </w:pPr>
      <w:r w:rsidRPr="006D3CD6">
        <w:rPr>
          <w:rFonts w:ascii="Arial" w:hAnsi="Arial" w:cs="Arial"/>
        </w:rPr>
        <w:t> </w:t>
      </w:r>
    </w:p>
    <w:p w14:paraId="4216B8D8" w14:textId="7CDF8655" w:rsidR="00762A78" w:rsidRDefault="0026477B" w:rsidP="00717ACD">
      <w:pPr>
        <w:pStyle w:val="Heading1"/>
      </w:pPr>
      <w:bookmarkStart w:id="46" w:name="_Toc195196553"/>
      <w:r>
        <w:br w:type="page"/>
      </w:r>
      <w:bookmarkStart w:id="47" w:name="_Toc197420407"/>
      <w:r w:rsidR="00762A78">
        <w:lastRenderedPageBreak/>
        <w:t>Suggested reading</w:t>
      </w:r>
      <w:bookmarkEnd w:id="46"/>
      <w:bookmarkEnd w:id="47"/>
      <w:r w:rsidR="00762A78">
        <w:t xml:space="preserve"> </w:t>
      </w:r>
    </w:p>
    <w:p w14:paraId="7CBE1F24" w14:textId="77777777" w:rsidR="00762A78" w:rsidRPr="00554F05" w:rsidRDefault="00762A78" w:rsidP="0099693B">
      <w:pPr>
        <w:numPr>
          <w:ilvl w:val="0"/>
          <w:numId w:val="73"/>
        </w:numPr>
      </w:pPr>
      <w:r w:rsidRPr="00554F05">
        <w:t xml:space="preserve">Advance HE. (2021). </w:t>
      </w:r>
      <w:r w:rsidRPr="00554F05">
        <w:rPr>
          <w:i/>
          <w:iCs/>
        </w:rPr>
        <w:t>Equality, diversity, and inclusion in higher education: Progress and practice.</w:t>
      </w:r>
      <w:r w:rsidRPr="00554F05">
        <w:t xml:space="preserve"> Retrieved from </w:t>
      </w:r>
      <w:hyperlink r:id="rId13" w:tgtFrame="_blank" w:history="1">
        <w:r w:rsidRPr="00554F05">
          <w:rPr>
            <w:rStyle w:val="Hyperlink"/>
          </w:rPr>
          <w:t>Advance HE</w:t>
        </w:r>
      </w:hyperlink>
      <w:r w:rsidRPr="00554F05">
        <w:t> </w:t>
      </w:r>
    </w:p>
    <w:p w14:paraId="24BD9EC4" w14:textId="77777777" w:rsidR="00762A78" w:rsidRPr="00554F05" w:rsidRDefault="00762A78" w:rsidP="0099693B">
      <w:pPr>
        <w:numPr>
          <w:ilvl w:val="0"/>
          <w:numId w:val="74"/>
        </w:numPr>
      </w:pPr>
      <w:r w:rsidRPr="00554F05">
        <w:t xml:space="preserve">Barr, H. (2019). </w:t>
      </w:r>
      <w:r w:rsidRPr="00554F05">
        <w:rPr>
          <w:i/>
          <w:iCs/>
        </w:rPr>
        <w:t>Interprofessional education in health and social care: Lessons learned and future directions.</w:t>
      </w:r>
      <w:r w:rsidRPr="00554F05">
        <w:t xml:space="preserve"> Routledge. </w:t>
      </w:r>
    </w:p>
    <w:p w14:paraId="19809441" w14:textId="77777777" w:rsidR="00762A78" w:rsidRPr="00554F05" w:rsidRDefault="00762A78" w:rsidP="0099693B">
      <w:pPr>
        <w:numPr>
          <w:ilvl w:val="0"/>
          <w:numId w:val="75"/>
        </w:numPr>
      </w:pPr>
      <w:r w:rsidRPr="00554F05">
        <w:t xml:space="preserve">Healthcare Apprenticeship Standards Online (HASO). (2024). </w:t>
      </w:r>
      <w:r w:rsidRPr="00554F05">
        <w:rPr>
          <w:i/>
          <w:iCs/>
        </w:rPr>
        <w:t>Speech and language therapist apprenticeship guidance.</w:t>
      </w:r>
      <w:r w:rsidRPr="00554F05">
        <w:t xml:space="preserve"> Retrieved from </w:t>
      </w:r>
      <w:hyperlink r:id="rId14" w:tgtFrame="_blank" w:history="1">
        <w:r w:rsidRPr="00554F05">
          <w:rPr>
            <w:rStyle w:val="Hyperlink"/>
          </w:rPr>
          <w:t>HASO</w:t>
        </w:r>
      </w:hyperlink>
      <w:r w:rsidRPr="00554F05">
        <w:t> </w:t>
      </w:r>
    </w:p>
    <w:p w14:paraId="74C44D4A" w14:textId="77777777" w:rsidR="00762A78" w:rsidRPr="00554F05" w:rsidRDefault="00762A78" w:rsidP="0099693B">
      <w:pPr>
        <w:numPr>
          <w:ilvl w:val="0"/>
          <w:numId w:val="76"/>
        </w:numPr>
      </w:pPr>
      <w:r w:rsidRPr="00554F05">
        <w:t xml:space="preserve">Health and Care Professions Council (HCPC). (2022). </w:t>
      </w:r>
      <w:r w:rsidRPr="00554F05">
        <w:rPr>
          <w:i/>
          <w:iCs/>
        </w:rPr>
        <w:t>Standards of proficiency – Speech and Language Therapists.</w:t>
      </w:r>
      <w:r w:rsidRPr="00554F05">
        <w:t xml:space="preserve"> Retrieved from </w:t>
      </w:r>
      <w:hyperlink r:id="rId15" w:tgtFrame="_blank" w:history="1">
        <w:r w:rsidRPr="00554F05">
          <w:rPr>
            <w:rStyle w:val="Hyperlink"/>
          </w:rPr>
          <w:t>HCPC</w:t>
        </w:r>
      </w:hyperlink>
      <w:r w:rsidRPr="00554F05">
        <w:t> </w:t>
      </w:r>
    </w:p>
    <w:p w14:paraId="29D5FB42" w14:textId="77777777" w:rsidR="00762A78" w:rsidRPr="00554F05" w:rsidRDefault="00762A78" w:rsidP="0099693B">
      <w:pPr>
        <w:numPr>
          <w:ilvl w:val="0"/>
          <w:numId w:val="77"/>
        </w:numPr>
      </w:pPr>
      <w:r w:rsidRPr="00554F05">
        <w:t xml:space="preserve">Health and Care Professions Council (HCPC). (2023). </w:t>
      </w:r>
      <w:r w:rsidRPr="00554F05">
        <w:rPr>
          <w:i/>
          <w:iCs/>
        </w:rPr>
        <w:t>English language proficiency requirements for registrants.</w:t>
      </w:r>
      <w:r w:rsidRPr="00554F05">
        <w:t xml:space="preserve"> Retrieved from </w:t>
      </w:r>
      <w:hyperlink r:id="rId16" w:tgtFrame="_blank" w:history="1">
        <w:r w:rsidRPr="00554F05">
          <w:rPr>
            <w:rStyle w:val="Hyperlink"/>
          </w:rPr>
          <w:t>HCPC</w:t>
        </w:r>
      </w:hyperlink>
      <w:r w:rsidRPr="00554F05">
        <w:t> </w:t>
      </w:r>
    </w:p>
    <w:p w14:paraId="1114D1B2" w14:textId="77777777" w:rsidR="00762A78" w:rsidRPr="00554F05" w:rsidRDefault="00762A78" w:rsidP="0099693B">
      <w:pPr>
        <w:numPr>
          <w:ilvl w:val="0"/>
          <w:numId w:val="78"/>
        </w:numPr>
      </w:pPr>
      <w:r w:rsidRPr="00554F05">
        <w:t xml:space="preserve">Health and Care Professions Council (HCPC). (2023b). </w:t>
      </w:r>
      <w:r w:rsidRPr="00554F05">
        <w:rPr>
          <w:i/>
          <w:iCs/>
        </w:rPr>
        <w:t>Guidance on assessment in healthcare education.</w:t>
      </w:r>
      <w:r w:rsidRPr="00554F05">
        <w:t xml:space="preserve"> Retrieved from </w:t>
      </w:r>
      <w:hyperlink r:id="rId17" w:tgtFrame="_blank" w:history="1">
        <w:r w:rsidRPr="00554F05">
          <w:rPr>
            <w:rStyle w:val="Hyperlink"/>
          </w:rPr>
          <w:t>HCPC</w:t>
        </w:r>
      </w:hyperlink>
      <w:r w:rsidRPr="00554F05">
        <w:t> </w:t>
      </w:r>
    </w:p>
    <w:p w14:paraId="66BD4E69" w14:textId="77777777" w:rsidR="00762A78" w:rsidRPr="00554F05" w:rsidRDefault="00762A78" w:rsidP="0099693B">
      <w:pPr>
        <w:numPr>
          <w:ilvl w:val="0"/>
          <w:numId w:val="79"/>
        </w:numPr>
      </w:pPr>
      <w:r w:rsidRPr="00554F05">
        <w:t xml:space="preserve">Higher Education Academy (HEA). (2020). </w:t>
      </w:r>
      <w:r w:rsidRPr="00554F05">
        <w:rPr>
          <w:i/>
          <w:iCs/>
        </w:rPr>
        <w:t>Innovative curriculum design in higher education: Best practices and strategies.</w:t>
      </w:r>
      <w:r w:rsidRPr="00554F05">
        <w:t xml:space="preserve"> London, UK: HEA Publications. </w:t>
      </w:r>
    </w:p>
    <w:p w14:paraId="07760D8E" w14:textId="77777777" w:rsidR="00762A78" w:rsidRPr="00554F05" w:rsidRDefault="00762A78" w:rsidP="0099693B">
      <w:pPr>
        <w:numPr>
          <w:ilvl w:val="0"/>
          <w:numId w:val="80"/>
        </w:numPr>
      </w:pPr>
      <w:r w:rsidRPr="00554F05">
        <w:t xml:space="preserve">Institute for Apprenticeships and Technical Education (IfATE). (2019). </w:t>
      </w:r>
      <w:r w:rsidRPr="00554F05">
        <w:rPr>
          <w:i/>
          <w:iCs/>
        </w:rPr>
        <w:t>Speech and language therapist (integrated degree) apprenticeship standard.</w:t>
      </w:r>
      <w:r w:rsidRPr="00554F05">
        <w:t xml:space="preserve"> Retrieved from </w:t>
      </w:r>
      <w:hyperlink r:id="rId18" w:tgtFrame="_blank" w:history="1">
        <w:r w:rsidRPr="00554F05">
          <w:rPr>
            <w:rStyle w:val="Hyperlink"/>
          </w:rPr>
          <w:t>IfATE</w:t>
        </w:r>
      </w:hyperlink>
      <w:r w:rsidRPr="00554F05">
        <w:t> </w:t>
      </w:r>
    </w:p>
    <w:p w14:paraId="56F2BA48" w14:textId="77777777" w:rsidR="00762A78" w:rsidRPr="00554F05" w:rsidRDefault="00762A78" w:rsidP="0099693B">
      <w:pPr>
        <w:numPr>
          <w:ilvl w:val="0"/>
          <w:numId w:val="81"/>
        </w:numPr>
      </w:pPr>
      <w:r w:rsidRPr="00554F05">
        <w:t xml:space="preserve">Quality Assurance Agency for Higher Education (QAA). (2019). </w:t>
      </w:r>
      <w:r w:rsidRPr="00554F05">
        <w:rPr>
          <w:i/>
          <w:iCs/>
        </w:rPr>
        <w:t>Subject benchmark statement: Speech and language therapy.</w:t>
      </w:r>
      <w:r w:rsidRPr="00554F05">
        <w:t xml:space="preserve"> Retrieved from </w:t>
      </w:r>
      <w:hyperlink r:id="rId19" w:tgtFrame="_blank" w:history="1">
        <w:r w:rsidRPr="00554F05">
          <w:rPr>
            <w:rStyle w:val="Hyperlink"/>
          </w:rPr>
          <w:t>QAA</w:t>
        </w:r>
      </w:hyperlink>
      <w:r w:rsidRPr="00554F05">
        <w:t> </w:t>
      </w:r>
    </w:p>
    <w:p w14:paraId="38E130C0" w14:textId="77777777" w:rsidR="00762A78" w:rsidRPr="00554F05" w:rsidRDefault="00762A78" w:rsidP="0099693B">
      <w:pPr>
        <w:numPr>
          <w:ilvl w:val="0"/>
          <w:numId w:val="82"/>
        </w:numPr>
      </w:pPr>
      <w:r w:rsidRPr="00554F05">
        <w:t xml:space="preserve">Quality Assurance Agency for Higher Education (QAA). (2024). </w:t>
      </w:r>
      <w:r w:rsidRPr="00554F05">
        <w:rPr>
          <w:i/>
          <w:iCs/>
        </w:rPr>
        <w:t>UK Quality Code for Higher Education.</w:t>
      </w:r>
      <w:r w:rsidRPr="00554F05">
        <w:t xml:space="preserve"> London, UK: QAA. Retrieved from </w:t>
      </w:r>
      <w:hyperlink r:id="rId20" w:tgtFrame="_blank" w:history="1">
        <w:r w:rsidRPr="00554F05">
          <w:rPr>
            <w:rStyle w:val="Hyperlink"/>
          </w:rPr>
          <w:t>QAA</w:t>
        </w:r>
      </w:hyperlink>
      <w:r w:rsidRPr="00554F05">
        <w:t> </w:t>
      </w:r>
    </w:p>
    <w:p w14:paraId="3218125D" w14:textId="77777777" w:rsidR="00762A78" w:rsidRPr="00554F05" w:rsidRDefault="00762A78" w:rsidP="0099693B">
      <w:pPr>
        <w:numPr>
          <w:ilvl w:val="0"/>
          <w:numId w:val="83"/>
        </w:numPr>
      </w:pPr>
      <w:r w:rsidRPr="00554F05">
        <w:t xml:space="preserve">Royal College of Speech and Language Therapists (RCSLT). (2018). </w:t>
      </w:r>
      <w:r w:rsidRPr="00554F05">
        <w:rPr>
          <w:i/>
          <w:iCs/>
        </w:rPr>
        <w:t>Curriculum guidance for pre-registration speech and language therapy programmes.</w:t>
      </w:r>
      <w:r w:rsidRPr="00554F05">
        <w:t xml:space="preserve"> [Updated March 2021, revised 2025]. Retrieved from </w:t>
      </w:r>
      <w:hyperlink r:id="rId21" w:tgtFrame="_blank" w:history="1">
        <w:r w:rsidRPr="00554F05">
          <w:rPr>
            <w:rStyle w:val="Hyperlink"/>
          </w:rPr>
          <w:t>RCSLT</w:t>
        </w:r>
      </w:hyperlink>
      <w:r w:rsidRPr="00554F05">
        <w:t> </w:t>
      </w:r>
    </w:p>
    <w:p w14:paraId="608540BE" w14:textId="77777777" w:rsidR="00762A78" w:rsidRPr="00554F05" w:rsidRDefault="00762A78" w:rsidP="0099693B">
      <w:pPr>
        <w:numPr>
          <w:ilvl w:val="0"/>
          <w:numId w:val="84"/>
        </w:numPr>
      </w:pPr>
      <w:r w:rsidRPr="00554F05">
        <w:t xml:space="preserve">Royal College of Speech and Language Therapists (RCSLT). (2021). </w:t>
      </w:r>
      <w:r w:rsidRPr="00554F05">
        <w:rPr>
          <w:i/>
          <w:iCs/>
        </w:rPr>
        <w:t>Newly Qualified Practitioners framework.</w:t>
      </w:r>
      <w:r w:rsidRPr="00554F05">
        <w:t xml:space="preserve"> Retrieved from </w:t>
      </w:r>
      <w:hyperlink r:id="rId22" w:tgtFrame="_blank" w:history="1">
        <w:r w:rsidRPr="00554F05">
          <w:rPr>
            <w:rStyle w:val="Hyperlink"/>
          </w:rPr>
          <w:t>RCSLT</w:t>
        </w:r>
      </w:hyperlink>
      <w:r w:rsidRPr="00554F05">
        <w:t> </w:t>
      </w:r>
    </w:p>
    <w:p w14:paraId="73119362" w14:textId="77777777" w:rsidR="00762A78" w:rsidRPr="00554F05" w:rsidRDefault="00762A78" w:rsidP="0099693B">
      <w:pPr>
        <w:numPr>
          <w:ilvl w:val="0"/>
          <w:numId w:val="85"/>
        </w:numPr>
      </w:pPr>
      <w:r w:rsidRPr="00554F05">
        <w:t xml:space="preserve">Royal College of Speech and Language Therapists (RCSLT). (n.d.). </w:t>
      </w:r>
      <w:r w:rsidRPr="00554F05">
        <w:rPr>
          <w:i/>
          <w:iCs/>
        </w:rPr>
        <w:t>Higher Education Institutions (HEI) List 2023-24.</w:t>
      </w:r>
      <w:r w:rsidRPr="00554F05">
        <w:t xml:space="preserve"> Retrieved from </w:t>
      </w:r>
      <w:hyperlink r:id="rId23" w:tgtFrame="_blank" w:history="1">
        <w:r w:rsidRPr="00554F05">
          <w:rPr>
            <w:rStyle w:val="Hyperlink"/>
          </w:rPr>
          <w:t>RCSLT</w:t>
        </w:r>
      </w:hyperlink>
      <w:r w:rsidRPr="00554F05">
        <w:t> </w:t>
      </w:r>
    </w:p>
    <w:p w14:paraId="0450190E" w14:textId="77777777" w:rsidR="00762A78" w:rsidRPr="00554F05" w:rsidRDefault="00762A78" w:rsidP="0099693B">
      <w:pPr>
        <w:numPr>
          <w:ilvl w:val="0"/>
          <w:numId w:val="86"/>
        </w:numPr>
      </w:pPr>
      <w:r w:rsidRPr="00554F05">
        <w:t xml:space="preserve">Royal College of Speech and Language Therapists (RCSLT). (n.d.). </w:t>
      </w:r>
      <w:r w:rsidRPr="00554F05">
        <w:rPr>
          <w:i/>
          <w:iCs/>
        </w:rPr>
        <w:t>Mutual Recognition Agreement (MRA) Guidance for Speech and Language Therapists.</w:t>
      </w:r>
      <w:r w:rsidRPr="00554F05">
        <w:t xml:space="preserve"> Retrieved from </w:t>
      </w:r>
      <w:hyperlink r:id="rId24" w:tgtFrame="_blank" w:history="1">
        <w:r w:rsidRPr="00554F05">
          <w:rPr>
            <w:rStyle w:val="Hyperlink"/>
          </w:rPr>
          <w:t>RCSLT</w:t>
        </w:r>
      </w:hyperlink>
      <w:r w:rsidRPr="00554F05">
        <w:t> </w:t>
      </w:r>
    </w:p>
    <w:p w14:paraId="0FDDEAB5" w14:textId="77777777" w:rsidR="00762A78" w:rsidRPr="00554F05" w:rsidRDefault="00762A78" w:rsidP="0099693B">
      <w:pPr>
        <w:numPr>
          <w:ilvl w:val="0"/>
          <w:numId w:val="87"/>
        </w:numPr>
      </w:pPr>
      <w:r w:rsidRPr="00554F05">
        <w:t xml:space="preserve">Royal College of Speech and Language Therapists (RCSLT). (n.d.). </w:t>
      </w:r>
      <w:r w:rsidRPr="00554F05">
        <w:rPr>
          <w:i/>
          <w:iCs/>
        </w:rPr>
        <w:t>RCSLT Approved Programmes.</w:t>
      </w:r>
      <w:r w:rsidRPr="00554F05">
        <w:t xml:space="preserve"> Retrieved from </w:t>
      </w:r>
      <w:hyperlink r:id="rId25" w:tgtFrame="_blank" w:history="1">
        <w:r w:rsidRPr="00554F05">
          <w:rPr>
            <w:rStyle w:val="Hyperlink"/>
          </w:rPr>
          <w:t>RCSLT</w:t>
        </w:r>
      </w:hyperlink>
      <w:r w:rsidRPr="00554F05">
        <w:t> </w:t>
      </w:r>
    </w:p>
    <w:p w14:paraId="4F81D335" w14:textId="77777777" w:rsidR="00762A78" w:rsidRPr="00554F05" w:rsidRDefault="00762A78" w:rsidP="0099693B">
      <w:pPr>
        <w:numPr>
          <w:ilvl w:val="0"/>
          <w:numId w:val="88"/>
        </w:numPr>
      </w:pPr>
      <w:r w:rsidRPr="00554F05">
        <w:lastRenderedPageBreak/>
        <w:t xml:space="preserve">UK Government. (2024). </w:t>
      </w:r>
      <w:r w:rsidRPr="00554F05">
        <w:rPr>
          <w:i/>
          <w:iCs/>
        </w:rPr>
        <w:t>EU Settlement Scheme: Information for EU citizens in the UK.</w:t>
      </w:r>
      <w:r w:rsidRPr="00554F05">
        <w:t xml:space="preserve"> Retrieved from </w:t>
      </w:r>
      <w:hyperlink r:id="rId26" w:tgtFrame="_blank" w:history="1">
        <w:r w:rsidRPr="00554F05">
          <w:rPr>
            <w:rStyle w:val="Hyperlink"/>
          </w:rPr>
          <w:t>UK Government</w:t>
        </w:r>
      </w:hyperlink>
      <w:r w:rsidRPr="00554F05">
        <w:t> </w:t>
      </w:r>
    </w:p>
    <w:p w14:paraId="42906D99" w14:textId="77777777" w:rsidR="00762A78" w:rsidRPr="00554F05" w:rsidRDefault="00762A78" w:rsidP="0099693B">
      <w:pPr>
        <w:numPr>
          <w:ilvl w:val="0"/>
          <w:numId w:val="89"/>
        </w:numPr>
      </w:pPr>
      <w:r w:rsidRPr="00554F05">
        <w:t xml:space="preserve">World Health Organization (WHO). (2019). </w:t>
      </w:r>
      <w:r w:rsidRPr="00554F05">
        <w:rPr>
          <w:i/>
          <w:iCs/>
        </w:rPr>
        <w:t>Framework for action on interprofessional education and collaborative practice.</w:t>
      </w:r>
      <w:r w:rsidRPr="00554F05">
        <w:t xml:space="preserve"> Geneva, Switzerland: WHO Press. Retrieved from </w:t>
      </w:r>
      <w:hyperlink r:id="rId27" w:tgtFrame="_blank" w:history="1">
        <w:r w:rsidRPr="00554F05">
          <w:rPr>
            <w:rStyle w:val="Hyperlink"/>
          </w:rPr>
          <w:t>WHO</w:t>
        </w:r>
      </w:hyperlink>
      <w:r w:rsidRPr="00554F05">
        <w:t> </w:t>
      </w:r>
    </w:p>
    <w:p w14:paraId="39C95C27" w14:textId="77777777" w:rsidR="00762A78" w:rsidRPr="00554F05" w:rsidRDefault="00762A78" w:rsidP="0099693B">
      <w:pPr>
        <w:numPr>
          <w:ilvl w:val="0"/>
          <w:numId w:val="90"/>
        </w:numPr>
      </w:pPr>
      <w:r w:rsidRPr="00554F05">
        <w:t xml:space="preserve">World Health Organization (WHO). (2020). </w:t>
      </w:r>
      <w:r w:rsidRPr="00554F05">
        <w:rPr>
          <w:i/>
          <w:iCs/>
        </w:rPr>
        <w:t>Global strategy on human resources for health: Workforce 2030.</w:t>
      </w:r>
      <w:r w:rsidRPr="00554F05">
        <w:t xml:space="preserve"> Geneva: WHO Press. Retrieved from </w:t>
      </w:r>
      <w:hyperlink r:id="rId28" w:tgtFrame="_blank" w:history="1">
        <w:r w:rsidRPr="00554F05">
          <w:rPr>
            <w:rStyle w:val="Hyperlink"/>
          </w:rPr>
          <w:t>WHO</w:t>
        </w:r>
      </w:hyperlink>
      <w:r w:rsidRPr="00554F05">
        <w:t> </w:t>
      </w:r>
    </w:p>
    <w:p w14:paraId="7CE10846" w14:textId="77777777" w:rsidR="00762A78" w:rsidRPr="00554F05" w:rsidRDefault="00762A78" w:rsidP="00762A78">
      <w:r w:rsidRPr="00554F05">
        <w:t> </w:t>
      </w:r>
    </w:p>
    <w:p w14:paraId="600769E7" w14:textId="77777777" w:rsidR="00762A78" w:rsidRPr="00A43A05" w:rsidRDefault="00762A78" w:rsidP="00762A78"/>
    <w:p w14:paraId="34BB7E25" w14:textId="77777777" w:rsidR="00D45F61" w:rsidRPr="00BE7C09" w:rsidRDefault="00D45F61" w:rsidP="00D45F61">
      <w:pPr>
        <w:pStyle w:val="BodyText"/>
      </w:pPr>
    </w:p>
    <w:sectPr w:rsidR="00D45F61" w:rsidRPr="00BE7C09" w:rsidSect="00D45F61">
      <w:headerReference w:type="even" r:id="rId29"/>
      <w:headerReference w:type="default" r:id="rId30"/>
      <w:footerReference w:type="even" r:id="rId31"/>
      <w:footerReference w:type="default" r:id="rId32"/>
      <w:headerReference w:type="first" r:id="rId33"/>
      <w:footerReference w:type="first" r:id="rId34"/>
      <w:pgSz w:w="11906" w:h="16838"/>
      <w:pgMar w:top="2127"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C7E6" w14:textId="77777777" w:rsidR="00A127A3" w:rsidRDefault="00A127A3" w:rsidP="00B36B8B">
      <w:pPr>
        <w:spacing w:after="0" w:line="240" w:lineRule="auto"/>
      </w:pPr>
      <w:r>
        <w:separator/>
      </w:r>
    </w:p>
  </w:endnote>
  <w:endnote w:type="continuationSeparator" w:id="0">
    <w:p w14:paraId="41876E97" w14:textId="77777777" w:rsidR="00A127A3" w:rsidRDefault="00A127A3" w:rsidP="00B36B8B">
      <w:pPr>
        <w:spacing w:after="0" w:line="240" w:lineRule="auto"/>
      </w:pPr>
      <w:r>
        <w:continuationSeparator/>
      </w:r>
    </w:p>
  </w:endnote>
  <w:endnote w:type="continuationNotice" w:id="1">
    <w:p w14:paraId="3B92BB45" w14:textId="77777777" w:rsidR="00A127A3" w:rsidRDefault="00A12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F992" w14:textId="77777777" w:rsidR="00762A78" w:rsidRDefault="0076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4444F9FA" w14:textId="77777777" w:rsidR="009A617A" w:rsidRDefault="009A617A">
        <w:pPr>
          <w:pStyle w:val="Footer"/>
          <w:jc w:val="right"/>
        </w:pPr>
        <w:r>
          <w:t xml:space="preserve"> </w:t>
        </w:r>
        <w:r w:rsidR="00BE7C09">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2536D34C" w14:textId="77777777" w:rsidR="009A617A" w:rsidRDefault="009A617A" w:rsidP="009A617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2E3" w14:textId="77777777" w:rsidR="00762A78" w:rsidRDefault="0076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5B69" w14:textId="77777777" w:rsidR="00A127A3" w:rsidRDefault="00A127A3" w:rsidP="00B36B8B">
      <w:pPr>
        <w:spacing w:after="0" w:line="240" w:lineRule="auto"/>
      </w:pPr>
      <w:r>
        <w:separator/>
      </w:r>
    </w:p>
  </w:footnote>
  <w:footnote w:type="continuationSeparator" w:id="0">
    <w:p w14:paraId="23B1C4B2" w14:textId="77777777" w:rsidR="00A127A3" w:rsidRDefault="00A127A3" w:rsidP="00B36B8B">
      <w:pPr>
        <w:spacing w:after="0" w:line="240" w:lineRule="auto"/>
      </w:pPr>
      <w:r>
        <w:continuationSeparator/>
      </w:r>
    </w:p>
  </w:footnote>
  <w:footnote w:type="continuationNotice" w:id="1">
    <w:p w14:paraId="52374B9E" w14:textId="77777777" w:rsidR="00A127A3" w:rsidRDefault="00A12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2A35" w14:textId="77777777" w:rsidR="00534DEF" w:rsidRDefault="00000000">
    <w:pPr>
      <w:pStyle w:val="Header"/>
    </w:pPr>
    <w:r>
      <w:rPr>
        <w:noProof/>
      </w:rPr>
      <w:pict w14:anchorId="39387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2" o:spid="_x0000_s1027" type="#_x0000_t136" style="position:absolute;margin-left:0;margin-top:0;width:438.05pt;height:201.25pt;rotation:315;z-index:-251658237;mso-wrap-edited:f;mso-position-horizontal:center;mso-position-horizontal-relative:margin;mso-position-vertical:center;mso-position-vertical-relative:margin" o:allowincell="f" fillcolor="silver" stroked="f">
          <v:textpath style="font-family:&quot;Open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2049" w14:textId="77777777" w:rsidR="009A617A" w:rsidRDefault="00000000" w:rsidP="00BE7C09">
    <w:pPr>
      <w:tabs>
        <w:tab w:val="left" w:pos="1490"/>
        <w:tab w:val="right" w:pos="9070"/>
      </w:tabs>
      <w:spacing w:before="20"/>
    </w:pPr>
    <w:r>
      <w:rPr>
        <w:noProof/>
      </w:rPr>
      <w:pict w14:anchorId="0BDC8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3" o:spid="_x0000_s1026" type="#_x0000_t136" style="position:absolute;margin-left:0;margin-top:0;width:438.05pt;height:201.25pt;rotation:315;z-index:-251658236;mso-wrap-edited:f;mso-position-horizontal:center;mso-position-horizontal-relative:margin;mso-position-vertical:center;mso-position-vertical-relative:margin" o:allowincell="f" fillcolor="silver" stroked="f">
          <v:textpath style="font-family:&quot;Open Sans&quot;;font-size:1pt" string="DRAFT"/>
          <w10:wrap anchorx="margin" anchory="margin"/>
        </v:shape>
      </w:pict>
    </w:r>
    <w:r w:rsidR="00D45F61">
      <w:rPr>
        <w:noProof/>
      </w:rPr>
      <mc:AlternateContent>
        <mc:Choice Requires="wps">
          <w:drawing>
            <wp:anchor distT="0" distB="0" distL="114300" distR="114300" simplePos="0" relativeHeight="251658241" behindDoc="0" locked="0" layoutInCell="1" allowOverlap="1" wp14:anchorId="0A76A316" wp14:editId="045B3E90">
              <wp:simplePos x="0" y="0"/>
              <wp:positionH relativeFrom="column">
                <wp:posOffset>-2963</wp:posOffset>
              </wp:positionH>
              <wp:positionV relativeFrom="paragraph">
                <wp:posOffset>7620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17E7A373" w14:textId="5AE7B555" w:rsidR="00D45F61" w:rsidRDefault="00D45F61">
                          <w:r>
                            <w:t>[</w:t>
                          </w:r>
                          <w:r w:rsidR="00762A78" w:rsidRPr="00762A78">
                            <w:t xml:space="preserve">Curriculum Guidance </w:t>
                          </w:r>
                          <w:r>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76A316" id="_x0000_t202" coordsize="21600,21600" o:spt="202" path="m,l,21600r21600,l21600,xe">
              <v:stroke joinstyle="miter"/>
              <v:path gradientshapeok="t" o:connecttype="rect"/>
            </v:shapetype>
            <v:shape id="Text Box 286156329" o:spid="_x0000_s1026" type="#_x0000_t202" style="position:absolute;margin-left:-.25pt;margin-top:.6pt;width:293.35pt;height:45.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" filled="f" stroked="f" strokeweight=".5pt">
              <v:textbox>
                <w:txbxContent>
                  <w:p w14:paraId="17E7A373" w14:textId="5AE7B555" w:rsidR="00D45F61" w:rsidRDefault="00D45F61">
                    <w:r>
                      <w:t>[</w:t>
                    </w:r>
                    <w:r w:rsidR="00762A78" w:rsidRPr="00762A78">
                      <w:t xml:space="preserve">Curriculum Guidance </w:t>
                    </w:r>
                    <w:r>
                      <w:t>– DRAFT FOR CONSULTATION]</w:t>
                    </w:r>
                  </w:p>
                </w:txbxContent>
              </v:textbox>
            </v:shape>
          </w:pict>
        </mc:Fallback>
      </mc:AlternateContent>
    </w:r>
    <w:r w:rsidR="00BE7C09">
      <w:tab/>
    </w:r>
    <w:r w:rsidR="00BE7C09">
      <w:tab/>
    </w:r>
    <w:r w:rsidR="00BE7C09">
      <w:rPr>
        <w:noProof/>
        <w:color w:val="102036"/>
      </w:rPr>
      <w:drawing>
        <wp:anchor distT="0" distB="0" distL="114300" distR="114300" simplePos="0" relativeHeight="251658240" behindDoc="0" locked="0" layoutInCell="1" allowOverlap="1" wp14:anchorId="3B7BDD4D" wp14:editId="19E59549">
          <wp:simplePos x="0" y="0"/>
          <wp:positionH relativeFrom="column">
            <wp:posOffset>4154170</wp:posOffset>
          </wp:positionH>
          <wp:positionV relativeFrom="paragraph">
            <wp:posOffset>-74930</wp:posOffset>
          </wp:positionV>
          <wp:extent cx="1929954"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CBAB" w14:textId="77777777" w:rsidR="00534DEF" w:rsidRDefault="00000000">
    <w:pPr>
      <w:pStyle w:val="Header"/>
    </w:pPr>
    <w:r>
      <w:rPr>
        <w:noProof/>
      </w:rPr>
      <w:pict w14:anchorId="090F8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1" o:spid="_x0000_s1025" type="#_x0000_t136" style="position:absolute;margin-left:0;margin-top:0;width:438.05pt;height:201.25pt;rotation:315;z-index:-251658238;mso-wrap-edited:f;mso-position-horizontal:center;mso-position-horizontal-relative:margin;mso-position-vertical:center;mso-position-vertical-relative:margin" o:allowincell="f" fillcolor="silver" stroked="f">
          <v:textpath style="font-family:&quot;Open 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80D"/>
    <w:multiLevelType w:val="multilevel"/>
    <w:tmpl w:val="680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1BCD"/>
    <w:multiLevelType w:val="hybridMultilevel"/>
    <w:tmpl w:val="951A8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920F0"/>
    <w:multiLevelType w:val="multilevel"/>
    <w:tmpl w:val="AB9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C224E"/>
    <w:multiLevelType w:val="multilevel"/>
    <w:tmpl w:val="772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F62EA"/>
    <w:multiLevelType w:val="multilevel"/>
    <w:tmpl w:val="E300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10081"/>
    <w:multiLevelType w:val="hybridMultilevel"/>
    <w:tmpl w:val="F42A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42594"/>
    <w:multiLevelType w:val="multilevel"/>
    <w:tmpl w:val="B62C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065D03"/>
    <w:multiLevelType w:val="multilevel"/>
    <w:tmpl w:val="20D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90467"/>
    <w:multiLevelType w:val="multilevel"/>
    <w:tmpl w:val="364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B0BEA"/>
    <w:multiLevelType w:val="multilevel"/>
    <w:tmpl w:val="9B2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3B7045"/>
    <w:multiLevelType w:val="multilevel"/>
    <w:tmpl w:val="C51C4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F6B3C0F"/>
    <w:multiLevelType w:val="multilevel"/>
    <w:tmpl w:val="A7A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F9422A"/>
    <w:multiLevelType w:val="multilevel"/>
    <w:tmpl w:val="02CA41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FC198B"/>
    <w:multiLevelType w:val="multilevel"/>
    <w:tmpl w:val="55564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2643BE8"/>
    <w:multiLevelType w:val="hybridMultilevel"/>
    <w:tmpl w:val="F7260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6721B9"/>
    <w:multiLevelType w:val="multilevel"/>
    <w:tmpl w:val="EDC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5E39C5"/>
    <w:multiLevelType w:val="multilevel"/>
    <w:tmpl w:val="04EE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CD5902"/>
    <w:multiLevelType w:val="multilevel"/>
    <w:tmpl w:val="FA4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307025"/>
    <w:multiLevelType w:val="multilevel"/>
    <w:tmpl w:val="FE1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514602"/>
    <w:multiLevelType w:val="hybridMultilevel"/>
    <w:tmpl w:val="0C068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285F4D"/>
    <w:multiLevelType w:val="multilevel"/>
    <w:tmpl w:val="AB4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A34C9"/>
    <w:multiLevelType w:val="multilevel"/>
    <w:tmpl w:val="705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7C6B89"/>
    <w:multiLevelType w:val="multilevel"/>
    <w:tmpl w:val="56D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5A683E"/>
    <w:multiLevelType w:val="multilevel"/>
    <w:tmpl w:val="A97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9256C9"/>
    <w:multiLevelType w:val="multilevel"/>
    <w:tmpl w:val="2CE2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E540FC"/>
    <w:multiLevelType w:val="multilevel"/>
    <w:tmpl w:val="85D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BB5017"/>
    <w:multiLevelType w:val="multilevel"/>
    <w:tmpl w:val="8CDEB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E555279"/>
    <w:multiLevelType w:val="multilevel"/>
    <w:tmpl w:val="717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7C1F45"/>
    <w:multiLevelType w:val="multilevel"/>
    <w:tmpl w:val="87C2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DB2CB7"/>
    <w:multiLevelType w:val="multilevel"/>
    <w:tmpl w:val="5668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FE3CF1"/>
    <w:multiLevelType w:val="multilevel"/>
    <w:tmpl w:val="71E4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A6794B"/>
    <w:multiLevelType w:val="multilevel"/>
    <w:tmpl w:val="FCF4C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5444C12"/>
    <w:multiLevelType w:val="multilevel"/>
    <w:tmpl w:val="1520C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55A2F17"/>
    <w:multiLevelType w:val="multilevel"/>
    <w:tmpl w:val="5F7A2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9A25FCB"/>
    <w:multiLevelType w:val="multilevel"/>
    <w:tmpl w:val="923A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6D4A44"/>
    <w:multiLevelType w:val="multilevel"/>
    <w:tmpl w:val="CEF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4779F6"/>
    <w:multiLevelType w:val="multilevel"/>
    <w:tmpl w:val="6AA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185054"/>
    <w:multiLevelType w:val="multilevel"/>
    <w:tmpl w:val="B9A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493EB1"/>
    <w:multiLevelType w:val="multilevel"/>
    <w:tmpl w:val="B07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9A5B07"/>
    <w:multiLevelType w:val="hybridMultilevel"/>
    <w:tmpl w:val="DF62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463743"/>
    <w:multiLevelType w:val="multilevel"/>
    <w:tmpl w:val="776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C371B9"/>
    <w:multiLevelType w:val="multilevel"/>
    <w:tmpl w:val="3A5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275607E"/>
    <w:multiLevelType w:val="multilevel"/>
    <w:tmpl w:val="FED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FE0589"/>
    <w:multiLevelType w:val="multilevel"/>
    <w:tmpl w:val="2C1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A44366"/>
    <w:multiLevelType w:val="multilevel"/>
    <w:tmpl w:val="9FD8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7063069"/>
    <w:multiLevelType w:val="multilevel"/>
    <w:tmpl w:val="EEA27776"/>
    <w:lvl w:ilvl="0">
      <w:start w:val="1"/>
      <w:numFmt w:val="decimal"/>
      <w:lvlText w:val="%1"/>
      <w:lvlJc w:val="left"/>
      <w:pPr>
        <w:ind w:left="800" w:hanging="80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6" w15:restartNumberingAfterBreak="0">
    <w:nsid w:val="37CB25DB"/>
    <w:multiLevelType w:val="multilevel"/>
    <w:tmpl w:val="D810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305E32"/>
    <w:multiLevelType w:val="multilevel"/>
    <w:tmpl w:val="BB90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E6157A"/>
    <w:multiLevelType w:val="multilevel"/>
    <w:tmpl w:val="5CA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F90260"/>
    <w:multiLevelType w:val="multilevel"/>
    <w:tmpl w:val="8990B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5E8065E"/>
    <w:multiLevelType w:val="multilevel"/>
    <w:tmpl w:val="ED82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2C5197"/>
    <w:multiLevelType w:val="multilevel"/>
    <w:tmpl w:val="849C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475FD9"/>
    <w:multiLevelType w:val="multilevel"/>
    <w:tmpl w:val="7F6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450B61"/>
    <w:multiLevelType w:val="multilevel"/>
    <w:tmpl w:val="9A0E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716448"/>
    <w:multiLevelType w:val="multilevel"/>
    <w:tmpl w:val="CDD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C2F5917"/>
    <w:multiLevelType w:val="multilevel"/>
    <w:tmpl w:val="3514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AC1236"/>
    <w:multiLevelType w:val="multilevel"/>
    <w:tmpl w:val="BC442F28"/>
    <w:lvl w:ilvl="0">
      <w:start w:val="1"/>
      <w:numFmt w:val="decimal"/>
      <w:lvlText w:val="%1"/>
      <w:lvlJc w:val="left"/>
      <w:pPr>
        <w:ind w:left="940" w:hanging="940"/>
      </w:pPr>
      <w:rPr>
        <w:rFonts w:hint="default"/>
      </w:rPr>
    </w:lvl>
    <w:lvl w:ilvl="1">
      <w:start w:val="1"/>
      <w:numFmt w:val="decimal"/>
      <w:lvlText w:val="%1.%2"/>
      <w:lvlJc w:val="left"/>
      <w:pPr>
        <w:ind w:left="1220" w:hanging="1080"/>
      </w:pPr>
      <w:rPr>
        <w:rFonts w:hint="default"/>
      </w:rPr>
    </w:lvl>
    <w:lvl w:ilvl="2">
      <w:start w:val="1"/>
      <w:numFmt w:val="decimal"/>
      <w:lvlText w:val="%1.%2.%3"/>
      <w:lvlJc w:val="left"/>
      <w:pPr>
        <w:ind w:left="1720" w:hanging="1440"/>
      </w:pPr>
      <w:rPr>
        <w:rFonts w:hint="default"/>
      </w:rPr>
    </w:lvl>
    <w:lvl w:ilvl="3">
      <w:start w:val="1"/>
      <w:numFmt w:val="decimal"/>
      <w:lvlText w:val="%1.%2.%3.%4"/>
      <w:lvlJc w:val="left"/>
      <w:pPr>
        <w:ind w:left="2580" w:hanging="2160"/>
      </w:pPr>
      <w:rPr>
        <w:rFonts w:hint="default"/>
      </w:rPr>
    </w:lvl>
    <w:lvl w:ilvl="4">
      <w:start w:val="1"/>
      <w:numFmt w:val="decimal"/>
      <w:lvlText w:val="%1.%2.%3.%4.%5"/>
      <w:lvlJc w:val="left"/>
      <w:pPr>
        <w:ind w:left="3080" w:hanging="2520"/>
      </w:pPr>
      <w:rPr>
        <w:rFonts w:hint="default"/>
      </w:rPr>
    </w:lvl>
    <w:lvl w:ilvl="5">
      <w:start w:val="1"/>
      <w:numFmt w:val="decimal"/>
      <w:lvlText w:val="%1.%2.%3.%4.%5.%6"/>
      <w:lvlJc w:val="left"/>
      <w:pPr>
        <w:ind w:left="3940" w:hanging="3240"/>
      </w:pPr>
      <w:rPr>
        <w:rFonts w:hint="default"/>
      </w:rPr>
    </w:lvl>
    <w:lvl w:ilvl="6">
      <w:start w:val="1"/>
      <w:numFmt w:val="decimal"/>
      <w:lvlText w:val="%1.%2.%3.%4.%5.%6.%7"/>
      <w:lvlJc w:val="left"/>
      <w:pPr>
        <w:ind w:left="4440" w:hanging="3600"/>
      </w:pPr>
      <w:rPr>
        <w:rFonts w:hint="default"/>
      </w:rPr>
    </w:lvl>
    <w:lvl w:ilvl="7">
      <w:start w:val="1"/>
      <w:numFmt w:val="decimal"/>
      <w:lvlText w:val="%1.%2.%3.%4.%5.%6.%7.%8"/>
      <w:lvlJc w:val="left"/>
      <w:pPr>
        <w:ind w:left="5300" w:hanging="4320"/>
      </w:pPr>
      <w:rPr>
        <w:rFonts w:hint="default"/>
      </w:rPr>
    </w:lvl>
    <w:lvl w:ilvl="8">
      <w:start w:val="1"/>
      <w:numFmt w:val="decimal"/>
      <w:lvlText w:val="%1.%2.%3.%4.%5.%6.%7.%8.%9"/>
      <w:lvlJc w:val="left"/>
      <w:pPr>
        <w:ind w:left="5800" w:hanging="4680"/>
      </w:pPr>
      <w:rPr>
        <w:rFonts w:hint="default"/>
      </w:rPr>
    </w:lvl>
  </w:abstractNum>
  <w:abstractNum w:abstractNumId="57" w15:restartNumberingAfterBreak="0">
    <w:nsid w:val="4F006E2A"/>
    <w:multiLevelType w:val="multilevel"/>
    <w:tmpl w:val="0BDE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D85131"/>
    <w:multiLevelType w:val="multilevel"/>
    <w:tmpl w:val="148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031BE9"/>
    <w:multiLevelType w:val="multilevel"/>
    <w:tmpl w:val="DEA28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4297E6A"/>
    <w:multiLevelType w:val="multilevel"/>
    <w:tmpl w:val="F24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667637B"/>
    <w:multiLevelType w:val="multilevel"/>
    <w:tmpl w:val="878EE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69C605B"/>
    <w:multiLevelType w:val="multilevel"/>
    <w:tmpl w:val="81D65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580B536F"/>
    <w:multiLevelType w:val="multilevel"/>
    <w:tmpl w:val="FDFE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102F8E"/>
    <w:multiLevelType w:val="multilevel"/>
    <w:tmpl w:val="2730C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588B187E"/>
    <w:multiLevelType w:val="multilevel"/>
    <w:tmpl w:val="819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155461"/>
    <w:multiLevelType w:val="multilevel"/>
    <w:tmpl w:val="8CD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641AB3"/>
    <w:multiLevelType w:val="multilevel"/>
    <w:tmpl w:val="FC0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EB449F"/>
    <w:multiLevelType w:val="multilevel"/>
    <w:tmpl w:val="8B08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ACA3AC4"/>
    <w:multiLevelType w:val="multilevel"/>
    <w:tmpl w:val="6A1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327E2D"/>
    <w:multiLevelType w:val="multilevel"/>
    <w:tmpl w:val="BA76F2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1141A08"/>
    <w:multiLevelType w:val="multilevel"/>
    <w:tmpl w:val="C4D6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A96B29"/>
    <w:multiLevelType w:val="multilevel"/>
    <w:tmpl w:val="7EE6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BB784E"/>
    <w:multiLevelType w:val="multilevel"/>
    <w:tmpl w:val="36746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5F946C6"/>
    <w:multiLevelType w:val="multilevel"/>
    <w:tmpl w:val="D4EA9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660B1387"/>
    <w:multiLevelType w:val="multilevel"/>
    <w:tmpl w:val="8F5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2D11E1"/>
    <w:multiLevelType w:val="multilevel"/>
    <w:tmpl w:val="22F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BF632F"/>
    <w:multiLevelType w:val="multilevel"/>
    <w:tmpl w:val="863086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68C763A5"/>
    <w:multiLevelType w:val="multilevel"/>
    <w:tmpl w:val="FF2E2C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692F6C35"/>
    <w:multiLevelType w:val="multilevel"/>
    <w:tmpl w:val="0E1A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9E23EE8"/>
    <w:multiLevelType w:val="multilevel"/>
    <w:tmpl w:val="0A92B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BF568BE"/>
    <w:multiLevelType w:val="hybridMultilevel"/>
    <w:tmpl w:val="1F72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4568D7"/>
    <w:multiLevelType w:val="multilevel"/>
    <w:tmpl w:val="81E4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D250011"/>
    <w:multiLevelType w:val="multilevel"/>
    <w:tmpl w:val="986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DCD15B1"/>
    <w:multiLevelType w:val="multilevel"/>
    <w:tmpl w:val="D47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656173"/>
    <w:multiLevelType w:val="multilevel"/>
    <w:tmpl w:val="9884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4217DE"/>
    <w:multiLevelType w:val="multilevel"/>
    <w:tmpl w:val="9A5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B36A61"/>
    <w:multiLevelType w:val="multilevel"/>
    <w:tmpl w:val="9EA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03B44F7"/>
    <w:multiLevelType w:val="multilevel"/>
    <w:tmpl w:val="17B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4302493"/>
    <w:multiLevelType w:val="multilevel"/>
    <w:tmpl w:val="A5B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4C033EF"/>
    <w:multiLevelType w:val="multilevel"/>
    <w:tmpl w:val="4F6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4E24B09"/>
    <w:multiLevelType w:val="multilevel"/>
    <w:tmpl w:val="9AD20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75243863"/>
    <w:multiLevelType w:val="hybridMultilevel"/>
    <w:tmpl w:val="F1B68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351D4A"/>
    <w:multiLevelType w:val="multilevel"/>
    <w:tmpl w:val="B0D44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76BF5564"/>
    <w:multiLevelType w:val="multilevel"/>
    <w:tmpl w:val="352C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FA7945"/>
    <w:multiLevelType w:val="multilevel"/>
    <w:tmpl w:val="458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397E72"/>
    <w:multiLevelType w:val="multilevel"/>
    <w:tmpl w:val="40E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AF738C7"/>
    <w:multiLevelType w:val="multilevel"/>
    <w:tmpl w:val="D7E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BC5054A"/>
    <w:multiLevelType w:val="multilevel"/>
    <w:tmpl w:val="4E42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D57524D"/>
    <w:multiLevelType w:val="multilevel"/>
    <w:tmpl w:val="5B8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EB81D3D"/>
    <w:multiLevelType w:val="multilevel"/>
    <w:tmpl w:val="DE6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5245269">
    <w:abstractNumId w:val="81"/>
  </w:num>
  <w:num w:numId="2" w16cid:durableId="526792171">
    <w:abstractNumId w:val="24"/>
  </w:num>
  <w:num w:numId="3" w16cid:durableId="209416285">
    <w:abstractNumId w:val="16"/>
  </w:num>
  <w:num w:numId="4" w16cid:durableId="1736050840">
    <w:abstractNumId w:val="11"/>
  </w:num>
  <w:num w:numId="5" w16cid:durableId="1371102746">
    <w:abstractNumId w:val="86"/>
  </w:num>
  <w:num w:numId="6" w16cid:durableId="1717776169">
    <w:abstractNumId w:val="46"/>
  </w:num>
  <w:num w:numId="7" w16cid:durableId="2018342367">
    <w:abstractNumId w:val="50"/>
  </w:num>
  <w:num w:numId="8" w16cid:durableId="320432056">
    <w:abstractNumId w:val="21"/>
  </w:num>
  <w:num w:numId="9" w16cid:durableId="775057656">
    <w:abstractNumId w:val="67"/>
  </w:num>
  <w:num w:numId="10" w16cid:durableId="350689477">
    <w:abstractNumId w:val="34"/>
  </w:num>
  <w:num w:numId="11" w16cid:durableId="1907908169">
    <w:abstractNumId w:val="44"/>
  </w:num>
  <w:num w:numId="12" w16cid:durableId="1613785213">
    <w:abstractNumId w:val="98"/>
  </w:num>
  <w:num w:numId="13" w16cid:durableId="1719350956">
    <w:abstractNumId w:val="7"/>
  </w:num>
  <w:num w:numId="14" w16cid:durableId="2128309672">
    <w:abstractNumId w:val="36"/>
  </w:num>
  <w:num w:numId="15" w16cid:durableId="510025452">
    <w:abstractNumId w:val="28"/>
  </w:num>
  <w:num w:numId="16" w16cid:durableId="1337730144">
    <w:abstractNumId w:val="51"/>
  </w:num>
  <w:num w:numId="17" w16cid:durableId="1083449209">
    <w:abstractNumId w:val="95"/>
  </w:num>
  <w:num w:numId="18" w16cid:durableId="619150446">
    <w:abstractNumId w:val="97"/>
  </w:num>
  <w:num w:numId="19" w16cid:durableId="2129004160">
    <w:abstractNumId w:val="89"/>
  </w:num>
  <w:num w:numId="20" w16cid:durableId="2111586253">
    <w:abstractNumId w:val="40"/>
  </w:num>
  <w:num w:numId="21" w16cid:durableId="30231478">
    <w:abstractNumId w:val="100"/>
  </w:num>
  <w:num w:numId="22" w16cid:durableId="2006399540">
    <w:abstractNumId w:val="76"/>
  </w:num>
  <w:num w:numId="23" w16cid:durableId="458841307">
    <w:abstractNumId w:val="93"/>
  </w:num>
  <w:num w:numId="24" w16cid:durableId="72699668">
    <w:abstractNumId w:val="91"/>
  </w:num>
  <w:num w:numId="25" w16cid:durableId="760949618">
    <w:abstractNumId w:val="73"/>
  </w:num>
  <w:num w:numId="26" w16cid:durableId="1803956623">
    <w:abstractNumId w:val="18"/>
  </w:num>
  <w:num w:numId="27" w16cid:durableId="966349424">
    <w:abstractNumId w:val="42"/>
  </w:num>
  <w:num w:numId="28" w16cid:durableId="573516722">
    <w:abstractNumId w:val="90"/>
  </w:num>
  <w:num w:numId="29" w16cid:durableId="288246981">
    <w:abstractNumId w:val="37"/>
  </w:num>
  <w:num w:numId="30" w16cid:durableId="596451725">
    <w:abstractNumId w:val="3"/>
  </w:num>
  <w:num w:numId="31" w16cid:durableId="1300846736">
    <w:abstractNumId w:val="38"/>
  </w:num>
  <w:num w:numId="32" w16cid:durableId="770706150">
    <w:abstractNumId w:val="64"/>
  </w:num>
  <w:num w:numId="33" w16cid:durableId="517475171">
    <w:abstractNumId w:val="12"/>
  </w:num>
  <w:num w:numId="34" w16cid:durableId="1271812465">
    <w:abstractNumId w:val="43"/>
  </w:num>
  <w:num w:numId="35" w16cid:durableId="1120143673">
    <w:abstractNumId w:val="61"/>
  </w:num>
  <w:num w:numId="36" w16cid:durableId="76249408">
    <w:abstractNumId w:val="74"/>
  </w:num>
  <w:num w:numId="37" w16cid:durableId="1868828316">
    <w:abstractNumId w:val="75"/>
  </w:num>
  <w:num w:numId="38" w16cid:durableId="1637687586">
    <w:abstractNumId w:val="70"/>
  </w:num>
  <w:num w:numId="39" w16cid:durableId="1495487386">
    <w:abstractNumId w:val="32"/>
  </w:num>
  <w:num w:numId="40" w16cid:durableId="1813250265">
    <w:abstractNumId w:val="59"/>
  </w:num>
  <w:num w:numId="41" w16cid:durableId="1414889460">
    <w:abstractNumId w:val="78"/>
  </w:num>
  <w:num w:numId="42" w16cid:durableId="2124298987">
    <w:abstractNumId w:val="80"/>
  </w:num>
  <w:num w:numId="43" w16cid:durableId="287399720">
    <w:abstractNumId w:val="54"/>
  </w:num>
  <w:num w:numId="44" w16cid:durableId="1384215946">
    <w:abstractNumId w:val="77"/>
  </w:num>
  <w:num w:numId="45" w16cid:durableId="292519077">
    <w:abstractNumId w:val="62"/>
  </w:num>
  <w:num w:numId="46" w16cid:durableId="2071927560">
    <w:abstractNumId w:val="26"/>
  </w:num>
  <w:num w:numId="47" w16cid:durableId="1223104653">
    <w:abstractNumId w:val="65"/>
  </w:num>
  <w:num w:numId="48" w16cid:durableId="37632658">
    <w:abstractNumId w:val="68"/>
  </w:num>
  <w:num w:numId="49" w16cid:durableId="220747606">
    <w:abstractNumId w:val="72"/>
  </w:num>
  <w:num w:numId="50" w16cid:durableId="739207288">
    <w:abstractNumId w:val="13"/>
  </w:num>
  <w:num w:numId="51" w16cid:durableId="916477467">
    <w:abstractNumId w:val="33"/>
  </w:num>
  <w:num w:numId="52" w16cid:durableId="2030788432">
    <w:abstractNumId w:val="8"/>
  </w:num>
  <w:num w:numId="53" w16cid:durableId="486093931">
    <w:abstractNumId w:val="31"/>
  </w:num>
  <w:num w:numId="54" w16cid:durableId="1785079319">
    <w:abstractNumId w:val="49"/>
  </w:num>
  <w:num w:numId="55" w16cid:durableId="715859248">
    <w:abstractNumId w:val="10"/>
  </w:num>
  <w:num w:numId="56" w16cid:durableId="968819812">
    <w:abstractNumId w:val="88"/>
  </w:num>
  <w:num w:numId="57" w16cid:durableId="1874806712">
    <w:abstractNumId w:val="4"/>
  </w:num>
  <w:num w:numId="58" w16cid:durableId="1725062695">
    <w:abstractNumId w:val="87"/>
  </w:num>
  <w:num w:numId="59" w16cid:durableId="1475178990">
    <w:abstractNumId w:val="71"/>
  </w:num>
  <w:num w:numId="60" w16cid:durableId="595141471">
    <w:abstractNumId w:val="29"/>
  </w:num>
  <w:num w:numId="61" w16cid:durableId="361134072">
    <w:abstractNumId w:val="25"/>
  </w:num>
  <w:num w:numId="62" w16cid:durableId="27032395">
    <w:abstractNumId w:val="48"/>
  </w:num>
  <w:num w:numId="63" w16cid:durableId="1958028336">
    <w:abstractNumId w:val="30"/>
  </w:num>
  <w:num w:numId="64" w16cid:durableId="59597591">
    <w:abstractNumId w:val="41"/>
  </w:num>
  <w:num w:numId="65" w16cid:durableId="117532613">
    <w:abstractNumId w:val="63"/>
  </w:num>
  <w:num w:numId="66" w16cid:durableId="943919156">
    <w:abstractNumId w:val="17"/>
  </w:num>
  <w:num w:numId="67" w16cid:durableId="218244375">
    <w:abstractNumId w:val="66"/>
  </w:num>
  <w:num w:numId="68" w16cid:durableId="1225263884">
    <w:abstractNumId w:val="23"/>
  </w:num>
  <w:num w:numId="69" w16cid:durableId="2021347476">
    <w:abstractNumId w:val="57"/>
  </w:num>
  <w:num w:numId="70" w16cid:durableId="884950862">
    <w:abstractNumId w:val="53"/>
  </w:num>
  <w:num w:numId="71" w16cid:durableId="320736107">
    <w:abstractNumId w:val="52"/>
  </w:num>
  <w:num w:numId="72" w16cid:durableId="616328443">
    <w:abstractNumId w:val="79"/>
  </w:num>
  <w:num w:numId="73" w16cid:durableId="164591177">
    <w:abstractNumId w:val="47"/>
  </w:num>
  <w:num w:numId="74" w16cid:durableId="90467292">
    <w:abstractNumId w:val="55"/>
  </w:num>
  <w:num w:numId="75" w16cid:durableId="27990746">
    <w:abstractNumId w:val="99"/>
  </w:num>
  <w:num w:numId="76" w16cid:durableId="563760097">
    <w:abstractNumId w:val="27"/>
  </w:num>
  <w:num w:numId="77" w16cid:durableId="2123837042">
    <w:abstractNumId w:val="96"/>
  </w:num>
  <w:num w:numId="78" w16cid:durableId="216861166">
    <w:abstractNumId w:val="15"/>
  </w:num>
  <w:num w:numId="79" w16cid:durableId="1119907557">
    <w:abstractNumId w:val="22"/>
  </w:num>
  <w:num w:numId="80" w16cid:durableId="1514495119">
    <w:abstractNumId w:val="84"/>
  </w:num>
  <w:num w:numId="81" w16cid:durableId="1452477565">
    <w:abstractNumId w:val="0"/>
  </w:num>
  <w:num w:numId="82" w16cid:durableId="635261180">
    <w:abstractNumId w:val="69"/>
  </w:num>
  <w:num w:numId="83" w16cid:durableId="705911967">
    <w:abstractNumId w:val="83"/>
  </w:num>
  <w:num w:numId="84" w16cid:durableId="1457336088">
    <w:abstractNumId w:val="60"/>
  </w:num>
  <w:num w:numId="85" w16cid:durableId="1539126484">
    <w:abstractNumId w:val="9"/>
  </w:num>
  <w:num w:numId="86" w16cid:durableId="1080106107">
    <w:abstractNumId w:val="2"/>
  </w:num>
  <w:num w:numId="87" w16cid:durableId="827867607">
    <w:abstractNumId w:val="82"/>
  </w:num>
  <w:num w:numId="88" w16cid:durableId="200634830">
    <w:abstractNumId w:val="20"/>
  </w:num>
  <w:num w:numId="89" w16cid:durableId="416025558">
    <w:abstractNumId w:val="6"/>
  </w:num>
  <w:num w:numId="90" w16cid:durableId="230819913">
    <w:abstractNumId w:val="35"/>
  </w:num>
  <w:num w:numId="91" w16cid:durableId="1014646678">
    <w:abstractNumId w:val="19"/>
  </w:num>
  <w:num w:numId="92" w16cid:durableId="1216237300">
    <w:abstractNumId w:val="39"/>
  </w:num>
  <w:num w:numId="93" w16cid:durableId="744031117">
    <w:abstractNumId w:val="92"/>
  </w:num>
  <w:num w:numId="94" w16cid:durableId="322120863">
    <w:abstractNumId w:val="5"/>
  </w:num>
  <w:num w:numId="95" w16cid:durableId="1461193148">
    <w:abstractNumId w:val="14"/>
  </w:num>
  <w:num w:numId="96" w16cid:durableId="930704117">
    <w:abstractNumId w:val="1"/>
  </w:num>
  <w:num w:numId="97" w16cid:durableId="1216967386">
    <w:abstractNumId w:val="94"/>
  </w:num>
  <w:num w:numId="98" w16cid:durableId="1782068008">
    <w:abstractNumId w:val="85"/>
  </w:num>
  <w:num w:numId="99" w16cid:durableId="91360936">
    <w:abstractNumId w:val="58"/>
  </w:num>
  <w:num w:numId="100" w16cid:durableId="899248325">
    <w:abstractNumId w:val="56"/>
  </w:num>
  <w:num w:numId="101" w16cid:durableId="1134173040">
    <w:abstractNumId w:val="4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8"/>
    <w:rsid w:val="00002225"/>
    <w:rsid w:val="00020494"/>
    <w:rsid w:val="00021C18"/>
    <w:rsid w:val="0004122B"/>
    <w:rsid w:val="000479A1"/>
    <w:rsid w:val="0006274E"/>
    <w:rsid w:val="00066287"/>
    <w:rsid w:val="00067811"/>
    <w:rsid w:val="00072B37"/>
    <w:rsid w:val="00081C88"/>
    <w:rsid w:val="00095367"/>
    <w:rsid w:val="000C5EDF"/>
    <w:rsid w:val="000D36DE"/>
    <w:rsid w:val="000E38D8"/>
    <w:rsid w:val="000E5F91"/>
    <w:rsid w:val="000E6A22"/>
    <w:rsid w:val="0010517A"/>
    <w:rsid w:val="00115CE6"/>
    <w:rsid w:val="001212E7"/>
    <w:rsid w:val="00123E8D"/>
    <w:rsid w:val="00143E4E"/>
    <w:rsid w:val="00176502"/>
    <w:rsid w:val="00182A56"/>
    <w:rsid w:val="00183B47"/>
    <w:rsid w:val="001C5CF4"/>
    <w:rsid w:val="001C752B"/>
    <w:rsid w:val="001F2429"/>
    <w:rsid w:val="00210AE6"/>
    <w:rsid w:val="00211C12"/>
    <w:rsid w:val="00214C4F"/>
    <w:rsid w:val="00216C09"/>
    <w:rsid w:val="0021736B"/>
    <w:rsid w:val="00217A7A"/>
    <w:rsid w:val="002349CD"/>
    <w:rsid w:val="0026477B"/>
    <w:rsid w:val="002736D5"/>
    <w:rsid w:val="00277A09"/>
    <w:rsid w:val="00284757"/>
    <w:rsid w:val="002904A6"/>
    <w:rsid w:val="00294F7F"/>
    <w:rsid w:val="002C2ED9"/>
    <w:rsid w:val="002C411A"/>
    <w:rsid w:val="002E05C9"/>
    <w:rsid w:val="0032749E"/>
    <w:rsid w:val="00333B11"/>
    <w:rsid w:val="00337892"/>
    <w:rsid w:val="0037787B"/>
    <w:rsid w:val="00382B0C"/>
    <w:rsid w:val="00382C65"/>
    <w:rsid w:val="00387E3C"/>
    <w:rsid w:val="003970D0"/>
    <w:rsid w:val="003A6681"/>
    <w:rsid w:val="003D5548"/>
    <w:rsid w:val="004151CC"/>
    <w:rsid w:val="0041632E"/>
    <w:rsid w:val="00427CF9"/>
    <w:rsid w:val="00432C5F"/>
    <w:rsid w:val="00472204"/>
    <w:rsid w:val="004764BB"/>
    <w:rsid w:val="00490B1D"/>
    <w:rsid w:val="00494C13"/>
    <w:rsid w:val="004A2A88"/>
    <w:rsid w:val="004C2B28"/>
    <w:rsid w:val="004C3B85"/>
    <w:rsid w:val="004C5E6F"/>
    <w:rsid w:val="004F0C70"/>
    <w:rsid w:val="004F7FB0"/>
    <w:rsid w:val="005012B7"/>
    <w:rsid w:val="00502E16"/>
    <w:rsid w:val="00504267"/>
    <w:rsid w:val="0051091B"/>
    <w:rsid w:val="00534DEF"/>
    <w:rsid w:val="00537366"/>
    <w:rsid w:val="00564B4D"/>
    <w:rsid w:val="005654D4"/>
    <w:rsid w:val="00565822"/>
    <w:rsid w:val="00573F2A"/>
    <w:rsid w:val="005A42B2"/>
    <w:rsid w:val="005B6BCA"/>
    <w:rsid w:val="005C1B41"/>
    <w:rsid w:val="005D5D34"/>
    <w:rsid w:val="005E35B6"/>
    <w:rsid w:val="005E5EE1"/>
    <w:rsid w:val="005F6AEB"/>
    <w:rsid w:val="005F6B3E"/>
    <w:rsid w:val="006215CD"/>
    <w:rsid w:val="00664002"/>
    <w:rsid w:val="00666A86"/>
    <w:rsid w:val="006673D1"/>
    <w:rsid w:val="006679E0"/>
    <w:rsid w:val="006B052A"/>
    <w:rsid w:val="006D7E65"/>
    <w:rsid w:val="00713CA2"/>
    <w:rsid w:val="00717ACD"/>
    <w:rsid w:val="007303BE"/>
    <w:rsid w:val="00747B1A"/>
    <w:rsid w:val="007626F5"/>
    <w:rsid w:val="00762A78"/>
    <w:rsid w:val="00790B3C"/>
    <w:rsid w:val="007A1E52"/>
    <w:rsid w:val="007C6B7E"/>
    <w:rsid w:val="007D02C3"/>
    <w:rsid w:val="007D103B"/>
    <w:rsid w:val="007F3EEB"/>
    <w:rsid w:val="007F5F8A"/>
    <w:rsid w:val="0080029D"/>
    <w:rsid w:val="00800C71"/>
    <w:rsid w:val="00812ABA"/>
    <w:rsid w:val="008135A1"/>
    <w:rsid w:val="008247DC"/>
    <w:rsid w:val="00824AD6"/>
    <w:rsid w:val="00834FD4"/>
    <w:rsid w:val="008552AC"/>
    <w:rsid w:val="00855C17"/>
    <w:rsid w:val="008631E2"/>
    <w:rsid w:val="008739F4"/>
    <w:rsid w:val="008A6E6C"/>
    <w:rsid w:val="008B2362"/>
    <w:rsid w:val="008B6F49"/>
    <w:rsid w:val="008E0E3F"/>
    <w:rsid w:val="008F432F"/>
    <w:rsid w:val="00901983"/>
    <w:rsid w:val="00916763"/>
    <w:rsid w:val="0092678E"/>
    <w:rsid w:val="009307FB"/>
    <w:rsid w:val="00950E95"/>
    <w:rsid w:val="0095374A"/>
    <w:rsid w:val="00966E3A"/>
    <w:rsid w:val="00994BB3"/>
    <w:rsid w:val="00995837"/>
    <w:rsid w:val="0099693B"/>
    <w:rsid w:val="009A617A"/>
    <w:rsid w:val="009F6C16"/>
    <w:rsid w:val="00A02F9C"/>
    <w:rsid w:val="00A127A3"/>
    <w:rsid w:val="00A177B6"/>
    <w:rsid w:val="00A4698F"/>
    <w:rsid w:val="00A64A4A"/>
    <w:rsid w:val="00A6521E"/>
    <w:rsid w:val="00A862F9"/>
    <w:rsid w:val="00AA19CF"/>
    <w:rsid w:val="00AA2A84"/>
    <w:rsid w:val="00AA6D76"/>
    <w:rsid w:val="00AC1090"/>
    <w:rsid w:val="00AE621C"/>
    <w:rsid w:val="00AE67C3"/>
    <w:rsid w:val="00B115DB"/>
    <w:rsid w:val="00B13E34"/>
    <w:rsid w:val="00B24BC5"/>
    <w:rsid w:val="00B36B8B"/>
    <w:rsid w:val="00B44AD9"/>
    <w:rsid w:val="00B51EAA"/>
    <w:rsid w:val="00B57A30"/>
    <w:rsid w:val="00B60031"/>
    <w:rsid w:val="00BA1452"/>
    <w:rsid w:val="00BE7C09"/>
    <w:rsid w:val="00C8718D"/>
    <w:rsid w:val="00C95881"/>
    <w:rsid w:val="00CD46BF"/>
    <w:rsid w:val="00CF143A"/>
    <w:rsid w:val="00CF4241"/>
    <w:rsid w:val="00D12BFD"/>
    <w:rsid w:val="00D241CD"/>
    <w:rsid w:val="00D45F61"/>
    <w:rsid w:val="00D56669"/>
    <w:rsid w:val="00D574FA"/>
    <w:rsid w:val="00D97657"/>
    <w:rsid w:val="00DA179E"/>
    <w:rsid w:val="00DA7A14"/>
    <w:rsid w:val="00DB62D8"/>
    <w:rsid w:val="00DC1ADF"/>
    <w:rsid w:val="00DD2CF7"/>
    <w:rsid w:val="00DE3CDF"/>
    <w:rsid w:val="00DE7103"/>
    <w:rsid w:val="00DF4281"/>
    <w:rsid w:val="00E10E72"/>
    <w:rsid w:val="00E726A7"/>
    <w:rsid w:val="00E84281"/>
    <w:rsid w:val="00E90798"/>
    <w:rsid w:val="00E90AF0"/>
    <w:rsid w:val="00EA1096"/>
    <w:rsid w:val="00EA2F68"/>
    <w:rsid w:val="00EB3147"/>
    <w:rsid w:val="00EC7CFA"/>
    <w:rsid w:val="00EE7951"/>
    <w:rsid w:val="00F534C9"/>
    <w:rsid w:val="00F5531F"/>
    <w:rsid w:val="00F57F89"/>
    <w:rsid w:val="00F97B8C"/>
    <w:rsid w:val="00FE3AA2"/>
    <w:rsid w:val="019650D6"/>
    <w:rsid w:val="059BB561"/>
    <w:rsid w:val="0C08B37F"/>
    <w:rsid w:val="18F650BA"/>
    <w:rsid w:val="1B6205B7"/>
    <w:rsid w:val="1DB44ECB"/>
    <w:rsid w:val="23C2BD21"/>
    <w:rsid w:val="269CDD47"/>
    <w:rsid w:val="2B51E6B6"/>
    <w:rsid w:val="2CEA86B8"/>
    <w:rsid w:val="362AF67A"/>
    <w:rsid w:val="412330A7"/>
    <w:rsid w:val="42F71E75"/>
    <w:rsid w:val="55D776E0"/>
    <w:rsid w:val="58A8D335"/>
    <w:rsid w:val="5F6530C9"/>
    <w:rsid w:val="6A3D123C"/>
    <w:rsid w:val="6B7FAE03"/>
    <w:rsid w:val="6BD8E29D"/>
    <w:rsid w:val="7039949B"/>
    <w:rsid w:val="70AC53C0"/>
    <w:rsid w:val="79520219"/>
    <w:rsid w:val="7E5EB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8A7F"/>
  <w15:chartTrackingRefBased/>
  <w15:docId w15:val="{AB498558-76CA-46C1-BBD9-12F49134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B57A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2A78"/>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62A78"/>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62A78"/>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D12BFD"/>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D12BFD"/>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AA2A84"/>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2904A6"/>
    <w:pPr>
      <w:spacing w:before="240" w:after="120"/>
    </w:pPr>
    <w:rPr>
      <w:rFonts w:cstheme="minorHAnsi"/>
      <w:b/>
      <w:bCs/>
      <w:sz w:val="21"/>
    </w:rPr>
  </w:style>
  <w:style w:type="paragraph" w:styleId="TOC2">
    <w:name w:val="toc 2"/>
    <w:basedOn w:val="Normal"/>
    <w:next w:val="Normal"/>
    <w:autoRedefine/>
    <w:uiPriority w:val="39"/>
    <w:unhideWhenUsed/>
    <w:rsid w:val="002904A6"/>
    <w:pPr>
      <w:spacing w:before="120" w:after="0"/>
      <w:ind w:left="200"/>
    </w:pPr>
    <w:rPr>
      <w:rFonts w:cstheme="minorHAnsi"/>
      <w:b/>
      <w:iCs/>
    </w:rPr>
  </w:style>
  <w:style w:type="paragraph" w:styleId="TOC3">
    <w:name w:val="toc 3"/>
    <w:basedOn w:val="Normal"/>
    <w:next w:val="Normal"/>
    <w:autoRedefine/>
    <w:uiPriority w:val="39"/>
    <w:unhideWhenUsed/>
    <w:rsid w:val="00081C88"/>
    <w:pPr>
      <w:spacing w:after="0"/>
      <w:ind w:left="400"/>
    </w:pPr>
    <w:rPr>
      <w:rFonts w:cstheme="minorHAnsi"/>
    </w:r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B57A30"/>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B57A30"/>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B57A30"/>
    <w:rPr>
      <w:rFonts w:ascii="Open Sans" w:eastAsia="Open Sans" w:hAnsi="Open Sans" w:cs="Open Sans"/>
      <w:sz w:val="20"/>
      <w:szCs w:val="20"/>
    </w:rPr>
  </w:style>
  <w:style w:type="character" w:styleId="UnresolvedMention">
    <w:name w:val="Unresolved Mention"/>
    <w:basedOn w:val="DefaultParagraphFont"/>
    <w:uiPriority w:val="99"/>
    <w:semiHidden/>
    <w:unhideWhenUsed/>
    <w:rsid w:val="003970D0"/>
    <w:rPr>
      <w:color w:val="605E5C"/>
      <w:shd w:val="clear" w:color="auto" w:fill="E1DFDD"/>
    </w:rPr>
  </w:style>
  <w:style w:type="table" w:styleId="TableGrid">
    <w:name w:val="Table Grid"/>
    <w:basedOn w:val="TableNormal"/>
    <w:uiPriority w:val="39"/>
    <w:rsid w:val="00AA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Open Sans" w:hAnsi="Open Sans" w:cs="Open Sans"/>
      <w:color w:val="231F2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67C3"/>
    <w:pPr>
      <w:spacing w:after="0" w:line="240" w:lineRule="auto"/>
    </w:pPr>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7303BE"/>
    <w:rPr>
      <w:b/>
      <w:bCs/>
    </w:rPr>
  </w:style>
  <w:style w:type="character" w:customStyle="1" w:styleId="CommentSubjectChar">
    <w:name w:val="Comment Subject Char"/>
    <w:basedOn w:val="CommentTextChar"/>
    <w:link w:val="CommentSubject"/>
    <w:uiPriority w:val="99"/>
    <w:semiHidden/>
    <w:rsid w:val="007303BE"/>
    <w:rPr>
      <w:rFonts w:ascii="Open Sans" w:hAnsi="Open Sans" w:cs="Open Sans"/>
      <w:b/>
      <w:bCs/>
      <w:color w:val="231F20"/>
      <w:sz w:val="20"/>
      <w:szCs w:val="20"/>
    </w:rPr>
  </w:style>
  <w:style w:type="character" w:styleId="Mention">
    <w:name w:val="Mention"/>
    <w:basedOn w:val="DefaultParagraphFont"/>
    <w:uiPriority w:val="99"/>
    <w:unhideWhenUsed/>
    <w:rsid w:val="007303BE"/>
    <w:rPr>
      <w:color w:val="2B579A"/>
      <w:shd w:val="clear" w:color="auto" w:fill="E1DFDD"/>
    </w:rPr>
  </w:style>
  <w:style w:type="character" w:customStyle="1" w:styleId="Heading7Char">
    <w:name w:val="Heading 7 Char"/>
    <w:basedOn w:val="DefaultParagraphFont"/>
    <w:link w:val="Heading7"/>
    <w:uiPriority w:val="9"/>
    <w:semiHidden/>
    <w:rsid w:val="00762A78"/>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62A78"/>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62A78"/>
    <w:rPr>
      <w:rFonts w:eastAsiaTheme="majorEastAsia" w:cstheme="majorBidi"/>
      <w:color w:val="272727" w:themeColor="text1" w:themeTint="D8"/>
      <w:kern w:val="2"/>
      <w14:ligatures w14:val="standardContextual"/>
    </w:rPr>
  </w:style>
  <w:style w:type="character" w:styleId="IntenseEmphasis">
    <w:name w:val="Intense Emphasis"/>
    <w:basedOn w:val="DefaultParagraphFont"/>
    <w:uiPriority w:val="21"/>
    <w:qFormat/>
    <w:rsid w:val="00762A78"/>
    <w:rPr>
      <w:i/>
      <w:iCs/>
      <w:color w:val="2F5496" w:themeColor="accent1" w:themeShade="BF"/>
    </w:rPr>
  </w:style>
  <w:style w:type="paragraph" w:styleId="IntenseQuote">
    <w:name w:val="Intense Quote"/>
    <w:basedOn w:val="Normal"/>
    <w:next w:val="Normal"/>
    <w:link w:val="IntenseQuoteChar"/>
    <w:uiPriority w:val="30"/>
    <w:qFormat/>
    <w:rsid w:val="00762A7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62A78"/>
    <w:rPr>
      <w:i/>
      <w:iCs/>
      <w:color w:val="2F5496" w:themeColor="accent1" w:themeShade="BF"/>
      <w:kern w:val="2"/>
      <w14:ligatures w14:val="standardContextual"/>
    </w:rPr>
  </w:style>
  <w:style w:type="character" w:styleId="IntenseReference">
    <w:name w:val="Intense Reference"/>
    <w:basedOn w:val="DefaultParagraphFont"/>
    <w:uiPriority w:val="32"/>
    <w:qFormat/>
    <w:rsid w:val="00762A78"/>
    <w:rPr>
      <w:b/>
      <w:bCs/>
      <w:smallCaps/>
      <w:color w:val="2F5496" w:themeColor="accent1" w:themeShade="BF"/>
      <w:spacing w:val="5"/>
    </w:rPr>
  </w:style>
  <w:style w:type="paragraph" w:styleId="TOCHeading">
    <w:name w:val="TOC Heading"/>
    <w:basedOn w:val="Heading1"/>
    <w:next w:val="Normal"/>
    <w:uiPriority w:val="39"/>
    <w:unhideWhenUsed/>
    <w:qFormat/>
    <w:rsid w:val="00762A78"/>
    <w:pPr>
      <w:keepNext/>
      <w:keepLines/>
      <w:widowControl/>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paragraph" w:styleId="NormalWeb">
    <w:name w:val="Normal (Web)"/>
    <w:basedOn w:val="Normal"/>
    <w:uiPriority w:val="99"/>
    <w:semiHidden/>
    <w:unhideWhenUsed/>
    <w:rsid w:val="00762A78"/>
    <w:rPr>
      <w:rFonts w:ascii="Times New Roman" w:hAnsi="Times New Roman" w:cs="Times New Roman"/>
      <w:color w:val="auto"/>
      <w:kern w:val="2"/>
      <w:sz w:val="24"/>
      <w:szCs w:val="24"/>
      <w14:ligatures w14:val="standardContextual"/>
    </w:rPr>
  </w:style>
  <w:style w:type="character" w:customStyle="1" w:styleId="relative">
    <w:name w:val="relative"/>
    <w:basedOn w:val="DefaultParagraphFont"/>
    <w:rsid w:val="00762A78"/>
  </w:style>
  <w:style w:type="character" w:customStyle="1" w:styleId="ml-1">
    <w:name w:val="ml-1"/>
    <w:basedOn w:val="DefaultParagraphFont"/>
    <w:rsid w:val="00762A78"/>
  </w:style>
  <w:style w:type="character" w:customStyle="1" w:styleId="max-w-full">
    <w:name w:val="max-w-full"/>
    <w:basedOn w:val="DefaultParagraphFont"/>
    <w:rsid w:val="00762A78"/>
  </w:style>
  <w:style w:type="paragraph" w:customStyle="1" w:styleId="xxxmsonormal">
    <w:name w:val="x_x_xmsonormal"/>
    <w:basedOn w:val="Normal"/>
    <w:rsid w:val="00762A7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762A78"/>
    <w:rPr>
      <w:rFonts w:ascii="Segoe UI" w:hAnsi="Segoe UI" w:cs="Segoe UI" w:hint="default"/>
      <w:sz w:val="18"/>
      <w:szCs w:val="18"/>
    </w:rPr>
  </w:style>
  <w:style w:type="paragraph" w:styleId="TOC4">
    <w:name w:val="toc 4"/>
    <w:basedOn w:val="Normal"/>
    <w:next w:val="Normal"/>
    <w:autoRedefine/>
    <w:uiPriority w:val="39"/>
    <w:semiHidden/>
    <w:unhideWhenUsed/>
    <w:rsid w:val="00B115DB"/>
    <w:pPr>
      <w:spacing w:after="0"/>
      <w:ind w:left="600"/>
    </w:pPr>
    <w:rPr>
      <w:rFonts w:asciiTheme="minorHAnsi" w:hAnsiTheme="minorHAnsi" w:cstheme="minorHAnsi"/>
    </w:rPr>
  </w:style>
  <w:style w:type="paragraph" w:styleId="TOC5">
    <w:name w:val="toc 5"/>
    <w:basedOn w:val="Normal"/>
    <w:next w:val="Normal"/>
    <w:autoRedefine/>
    <w:uiPriority w:val="39"/>
    <w:semiHidden/>
    <w:unhideWhenUsed/>
    <w:rsid w:val="00B115DB"/>
    <w:pPr>
      <w:spacing w:after="0"/>
      <w:ind w:left="800"/>
    </w:pPr>
    <w:rPr>
      <w:rFonts w:asciiTheme="minorHAnsi" w:hAnsiTheme="minorHAnsi" w:cstheme="minorHAnsi"/>
    </w:rPr>
  </w:style>
  <w:style w:type="paragraph" w:styleId="TOC6">
    <w:name w:val="toc 6"/>
    <w:basedOn w:val="Normal"/>
    <w:next w:val="Normal"/>
    <w:autoRedefine/>
    <w:uiPriority w:val="39"/>
    <w:semiHidden/>
    <w:unhideWhenUsed/>
    <w:rsid w:val="00B115DB"/>
    <w:pPr>
      <w:spacing w:after="0"/>
      <w:ind w:left="1000"/>
    </w:pPr>
    <w:rPr>
      <w:rFonts w:asciiTheme="minorHAnsi" w:hAnsiTheme="minorHAnsi" w:cstheme="minorHAnsi"/>
    </w:rPr>
  </w:style>
  <w:style w:type="paragraph" w:styleId="TOC7">
    <w:name w:val="toc 7"/>
    <w:basedOn w:val="Normal"/>
    <w:next w:val="Normal"/>
    <w:autoRedefine/>
    <w:uiPriority w:val="39"/>
    <w:semiHidden/>
    <w:unhideWhenUsed/>
    <w:rsid w:val="00B115DB"/>
    <w:pPr>
      <w:spacing w:after="0"/>
      <w:ind w:left="1200"/>
    </w:pPr>
    <w:rPr>
      <w:rFonts w:asciiTheme="minorHAnsi" w:hAnsiTheme="minorHAnsi" w:cstheme="minorHAnsi"/>
    </w:rPr>
  </w:style>
  <w:style w:type="paragraph" w:styleId="TOC8">
    <w:name w:val="toc 8"/>
    <w:basedOn w:val="Normal"/>
    <w:next w:val="Normal"/>
    <w:autoRedefine/>
    <w:uiPriority w:val="39"/>
    <w:semiHidden/>
    <w:unhideWhenUsed/>
    <w:rsid w:val="00B115DB"/>
    <w:pPr>
      <w:spacing w:after="0"/>
      <w:ind w:left="1400"/>
    </w:pPr>
    <w:rPr>
      <w:rFonts w:asciiTheme="minorHAnsi" w:hAnsiTheme="minorHAnsi" w:cstheme="minorHAnsi"/>
    </w:rPr>
  </w:style>
  <w:style w:type="paragraph" w:styleId="TOC9">
    <w:name w:val="toc 9"/>
    <w:basedOn w:val="Normal"/>
    <w:next w:val="Normal"/>
    <w:autoRedefine/>
    <w:uiPriority w:val="39"/>
    <w:semiHidden/>
    <w:unhideWhenUsed/>
    <w:rsid w:val="00B115DB"/>
    <w:pPr>
      <w:spacing w:after="0"/>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15525">
      <w:bodyDiv w:val="1"/>
      <w:marLeft w:val="0"/>
      <w:marRight w:val="0"/>
      <w:marTop w:val="0"/>
      <w:marBottom w:val="0"/>
      <w:divBdr>
        <w:top w:val="none" w:sz="0" w:space="0" w:color="auto"/>
        <w:left w:val="none" w:sz="0" w:space="0" w:color="auto"/>
        <w:bottom w:val="none" w:sz="0" w:space="0" w:color="auto"/>
        <w:right w:val="none" w:sz="0" w:space="0" w:color="auto"/>
      </w:divBdr>
    </w:div>
    <w:div w:id="12177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vance-he.ac.uk/guidance/equality-diversity-and-inclusion" TargetMode="External"/><Relationship Id="rId18" Type="http://schemas.openxmlformats.org/officeDocument/2006/relationships/hyperlink" Target="https://www.instituteforapprenticeships.org/apprenticeship-standards/speech-and-language-therapist-integrated-degree-v1-0" TargetMode="External"/><Relationship Id="rId26" Type="http://schemas.openxmlformats.org/officeDocument/2006/relationships/hyperlink" Target="https://www.gov.uk/settled-status-eu-citizens-families" TargetMode="External"/><Relationship Id="rId3" Type="http://schemas.openxmlformats.org/officeDocument/2006/relationships/customXml" Target="../customXml/item3.xml"/><Relationship Id="rId21" Type="http://schemas.openxmlformats.org/officeDocument/2006/relationships/hyperlink" Target="https://www.rcslt.org/wp-content/uploads/2021/03/RCSLT-Curriculum-Guidance-2021.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cpc-uk.org/" TargetMode="External"/><Relationship Id="rId25" Type="http://schemas.openxmlformats.org/officeDocument/2006/relationships/hyperlink" Target="https://www.rcslt.org/learning/rcslt-accreditatio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cpc-uk.org/registration/getting-on-the-register/international-applicants/english-language-requirements/" TargetMode="External"/><Relationship Id="rId20" Type="http://schemas.openxmlformats.org/officeDocument/2006/relationships/hyperlink" Target="https://www.qaa.ac.uk/quality-co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slt.org/news/the-mutual-recognition-agreem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cpc-uk.org/standards/standards-of-proficiency/speech-and-language-therapists/" TargetMode="External"/><Relationship Id="rId23" Type="http://schemas.openxmlformats.org/officeDocument/2006/relationships/hyperlink" Target="https://www.rcslt.org/speech-and-language-therapy/uk-speech-and-language-therapy-education/higher-education-institutions/" TargetMode="External"/><Relationship Id="rId28" Type="http://schemas.openxmlformats.org/officeDocument/2006/relationships/hyperlink" Target="https://www.who.int/publications/i/item/978924151113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aa.ac.uk/docs/qaa/subject-benchmark-statements/subject-benchmark-statement-speech-and-language-therapy.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so.skillsforhealth.org.uk/" TargetMode="External"/><Relationship Id="rId22" Type="http://schemas.openxmlformats.org/officeDocument/2006/relationships/hyperlink" Target="https://www.rcslt.org/members/professional-development/newly-qualified-practitioners-framework/" TargetMode="External"/><Relationship Id="rId27" Type="http://schemas.openxmlformats.org/officeDocument/2006/relationships/hyperlink" Target="https://apps.who.int/iris/bitstream/handle/10665/70185/WHO_HRH_HPN_10.3_eng.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9AB14A-167D-42B3-BABC-7F2DB4A7B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CD9F-DE4E-4B90-9BD0-A0575B860C04}">
  <ds:schemaRefs>
    <ds:schemaRef ds:uri="http://schemas.microsoft.com/sharepoint/v3/contenttype/forms"/>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39D02DE3-E566-4554-AE11-1647A1997395}">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7118</Words>
  <Characters>40578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47601</CharactersWithSpaces>
  <SharedDoc>false</SharedDoc>
  <HLinks>
    <vt:vector size="300" baseType="variant">
      <vt:variant>
        <vt:i4>1704003</vt:i4>
      </vt:variant>
      <vt:variant>
        <vt:i4>252</vt:i4>
      </vt:variant>
      <vt:variant>
        <vt:i4>0</vt:i4>
      </vt:variant>
      <vt:variant>
        <vt:i4>5</vt:i4>
      </vt:variant>
      <vt:variant>
        <vt:lpwstr>https://www.who.int/publications/i/item/9789241511131</vt:lpwstr>
      </vt:variant>
      <vt:variant>
        <vt:lpwstr/>
      </vt:variant>
      <vt:variant>
        <vt:i4>327708</vt:i4>
      </vt:variant>
      <vt:variant>
        <vt:i4>249</vt:i4>
      </vt:variant>
      <vt:variant>
        <vt:i4>0</vt:i4>
      </vt:variant>
      <vt:variant>
        <vt:i4>5</vt:i4>
      </vt:variant>
      <vt:variant>
        <vt:lpwstr>https://apps.who.int/iris/bitstream/handle/10665/70185/WHO_HRH_HPN_10.3_eng.pdf</vt:lpwstr>
      </vt:variant>
      <vt:variant>
        <vt:lpwstr/>
      </vt:variant>
      <vt:variant>
        <vt:i4>7209085</vt:i4>
      </vt:variant>
      <vt:variant>
        <vt:i4>246</vt:i4>
      </vt:variant>
      <vt:variant>
        <vt:i4>0</vt:i4>
      </vt:variant>
      <vt:variant>
        <vt:i4>5</vt:i4>
      </vt:variant>
      <vt:variant>
        <vt:lpwstr>https://www.gov.uk/settled-status-eu-citizens-families</vt:lpwstr>
      </vt:variant>
      <vt:variant>
        <vt:lpwstr/>
      </vt:variant>
      <vt:variant>
        <vt:i4>3145767</vt:i4>
      </vt:variant>
      <vt:variant>
        <vt:i4>243</vt:i4>
      </vt:variant>
      <vt:variant>
        <vt:i4>0</vt:i4>
      </vt:variant>
      <vt:variant>
        <vt:i4>5</vt:i4>
      </vt:variant>
      <vt:variant>
        <vt:lpwstr>https://www.rcslt.org/learning/rcslt-accreditation/</vt:lpwstr>
      </vt:variant>
      <vt:variant>
        <vt:lpwstr/>
      </vt:variant>
      <vt:variant>
        <vt:i4>1704029</vt:i4>
      </vt:variant>
      <vt:variant>
        <vt:i4>240</vt:i4>
      </vt:variant>
      <vt:variant>
        <vt:i4>0</vt:i4>
      </vt:variant>
      <vt:variant>
        <vt:i4>5</vt:i4>
      </vt:variant>
      <vt:variant>
        <vt:lpwstr>https://www.rcslt.org/news/the-mutual-recognition-agreement/</vt:lpwstr>
      </vt:variant>
      <vt:variant>
        <vt:lpwstr/>
      </vt:variant>
      <vt:variant>
        <vt:i4>4784192</vt:i4>
      </vt:variant>
      <vt:variant>
        <vt:i4>237</vt:i4>
      </vt:variant>
      <vt:variant>
        <vt:i4>0</vt:i4>
      </vt:variant>
      <vt:variant>
        <vt:i4>5</vt:i4>
      </vt:variant>
      <vt:variant>
        <vt:lpwstr>https://www.rcslt.org/speech-and-language-therapy/uk-speech-and-language-therapy-education/higher-education-institutions/</vt:lpwstr>
      </vt:variant>
      <vt:variant>
        <vt:lpwstr/>
      </vt:variant>
      <vt:variant>
        <vt:i4>6750315</vt:i4>
      </vt:variant>
      <vt:variant>
        <vt:i4>234</vt:i4>
      </vt:variant>
      <vt:variant>
        <vt:i4>0</vt:i4>
      </vt:variant>
      <vt:variant>
        <vt:i4>5</vt:i4>
      </vt:variant>
      <vt:variant>
        <vt:lpwstr>https://www.rcslt.org/members/professional-development/newly-qualified-practitioners-framework/</vt:lpwstr>
      </vt:variant>
      <vt:variant>
        <vt:lpwstr/>
      </vt:variant>
      <vt:variant>
        <vt:i4>4128864</vt:i4>
      </vt:variant>
      <vt:variant>
        <vt:i4>231</vt:i4>
      </vt:variant>
      <vt:variant>
        <vt:i4>0</vt:i4>
      </vt:variant>
      <vt:variant>
        <vt:i4>5</vt:i4>
      </vt:variant>
      <vt:variant>
        <vt:lpwstr>https://www.rcslt.org/wp-content/uploads/2021/03/RCSLT-Curriculum-Guidance-2021.pdf</vt:lpwstr>
      </vt:variant>
      <vt:variant>
        <vt:lpwstr/>
      </vt:variant>
      <vt:variant>
        <vt:i4>7602291</vt:i4>
      </vt:variant>
      <vt:variant>
        <vt:i4>228</vt:i4>
      </vt:variant>
      <vt:variant>
        <vt:i4>0</vt:i4>
      </vt:variant>
      <vt:variant>
        <vt:i4>5</vt:i4>
      </vt:variant>
      <vt:variant>
        <vt:lpwstr>https://www.qaa.ac.uk/quality-code</vt:lpwstr>
      </vt:variant>
      <vt:variant>
        <vt:lpwstr/>
      </vt:variant>
      <vt:variant>
        <vt:i4>3866735</vt:i4>
      </vt:variant>
      <vt:variant>
        <vt:i4>225</vt:i4>
      </vt:variant>
      <vt:variant>
        <vt:i4>0</vt:i4>
      </vt:variant>
      <vt:variant>
        <vt:i4>5</vt:i4>
      </vt:variant>
      <vt:variant>
        <vt:lpwstr>https://www.qaa.ac.uk/docs/qaa/subject-benchmark-statements/subject-benchmark-statement-speech-and-language-therapy.pdf</vt:lpwstr>
      </vt:variant>
      <vt:variant>
        <vt:lpwstr/>
      </vt:variant>
      <vt:variant>
        <vt:i4>4980808</vt:i4>
      </vt:variant>
      <vt:variant>
        <vt:i4>222</vt:i4>
      </vt:variant>
      <vt:variant>
        <vt:i4>0</vt:i4>
      </vt:variant>
      <vt:variant>
        <vt:i4>5</vt:i4>
      </vt:variant>
      <vt:variant>
        <vt:lpwstr>https://www.instituteforapprenticeships.org/apprenticeship-standards/speech-and-language-therapist-integrated-degree-v1-0</vt:lpwstr>
      </vt:variant>
      <vt:variant>
        <vt:lpwstr/>
      </vt:variant>
      <vt:variant>
        <vt:i4>5111830</vt:i4>
      </vt:variant>
      <vt:variant>
        <vt:i4>219</vt:i4>
      </vt:variant>
      <vt:variant>
        <vt:i4>0</vt:i4>
      </vt:variant>
      <vt:variant>
        <vt:i4>5</vt:i4>
      </vt:variant>
      <vt:variant>
        <vt:lpwstr>https://www.hcpc-uk.org/</vt:lpwstr>
      </vt:variant>
      <vt:variant>
        <vt:lpwstr/>
      </vt:variant>
      <vt:variant>
        <vt:i4>524363</vt:i4>
      </vt:variant>
      <vt:variant>
        <vt:i4>216</vt:i4>
      </vt:variant>
      <vt:variant>
        <vt:i4>0</vt:i4>
      </vt:variant>
      <vt:variant>
        <vt:i4>5</vt:i4>
      </vt:variant>
      <vt:variant>
        <vt:lpwstr>https://www.hcpc-uk.org/registration/getting-on-the-register/international-applicants/english-language-requirements/</vt:lpwstr>
      </vt:variant>
      <vt:variant>
        <vt:lpwstr/>
      </vt:variant>
      <vt:variant>
        <vt:i4>7929893</vt:i4>
      </vt:variant>
      <vt:variant>
        <vt:i4>213</vt:i4>
      </vt:variant>
      <vt:variant>
        <vt:i4>0</vt:i4>
      </vt:variant>
      <vt:variant>
        <vt:i4>5</vt:i4>
      </vt:variant>
      <vt:variant>
        <vt:lpwstr>https://www.hcpc-uk.org/standards/standards-of-proficiency/speech-and-language-therapists/</vt:lpwstr>
      </vt:variant>
      <vt:variant>
        <vt:lpwstr/>
      </vt:variant>
      <vt:variant>
        <vt:i4>5111818</vt:i4>
      </vt:variant>
      <vt:variant>
        <vt:i4>210</vt:i4>
      </vt:variant>
      <vt:variant>
        <vt:i4>0</vt:i4>
      </vt:variant>
      <vt:variant>
        <vt:i4>5</vt:i4>
      </vt:variant>
      <vt:variant>
        <vt:lpwstr>https://haso.skillsforhealth.org.uk/</vt:lpwstr>
      </vt:variant>
      <vt:variant>
        <vt:lpwstr/>
      </vt:variant>
      <vt:variant>
        <vt:i4>7077991</vt:i4>
      </vt:variant>
      <vt:variant>
        <vt:i4>207</vt:i4>
      </vt:variant>
      <vt:variant>
        <vt:i4>0</vt:i4>
      </vt:variant>
      <vt:variant>
        <vt:i4>5</vt:i4>
      </vt:variant>
      <vt:variant>
        <vt:lpwstr>https://www.advance-he.ac.uk/guidance/equality-diversity-and-inclusion</vt:lpwstr>
      </vt:variant>
      <vt:variant>
        <vt:lpwstr/>
      </vt:variant>
      <vt:variant>
        <vt:i4>1507388</vt:i4>
      </vt:variant>
      <vt:variant>
        <vt:i4>200</vt:i4>
      </vt:variant>
      <vt:variant>
        <vt:i4>0</vt:i4>
      </vt:variant>
      <vt:variant>
        <vt:i4>5</vt:i4>
      </vt:variant>
      <vt:variant>
        <vt:lpwstr/>
      </vt:variant>
      <vt:variant>
        <vt:lpwstr>_Toc196920903</vt:lpwstr>
      </vt:variant>
      <vt:variant>
        <vt:i4>1507388</vt:i4>
      </vt:variant>
      <vt:variant>
        <vt:i4>194</vt:i4>
      </vt:variant>
      <vt:variant>
        <vt:i4>0</vt:i4>
      </vt:variant>
      <vt:variant>
        <vt:i4>5</vt:i4>
      </vt:variant>
      <vt:variant>
        <vt:lpwstr/>
      </vt:variant>
      <vt:variant>
        <vt:lpwstr>_Toc196920902</vt:lpwstr>
      </vt:variant>
      <vt:variant>
        <vt:i4>1507388</vt:i4>
      </vt:variant>
      <vt:variant>
        <vt:i4>188</vt:i4>
      </vt:variant>
      <vt:variant>
        <vt:i4>0</vt:i4>
      </vt:variant>
      <vt:variant>
        <vt:i4>5</vt:i4>
      </vt:variant>
      <vt:variant>
        <vt:lpwstr/>
      </vt:variant>
      <vt:variant>
        <vt:lpwstr>_Toc196920901</vt:lpwstr>
      </vt:variant>
      <vt:variant>
        <vt:i4>1507388</vt:i4>
      </vt:variant>
      <vt:variant>
        <vt:i4>182</vt:i4>
      </vt:variant>
      <vt:variant>
        <vt:i4>0</vt:i4>
      </vt:variant>
      <vt:variant>
        <vt:i4>5</vt:i4>
      </vt:variant>
      <vt:variant>
        <vt:lpwstr/>
      </vt:variant>
      <vt:variant>
        <vt:lpwstr>_Toc196920900</vt:lpwstr>
      </vt:variant>
      <vt:variant>
        <vt:i4>1966141</vt:i4>
      </vt:variant>
      <vt:variant>
        <vt:i4>176</vt:i4>
      </vt:variant>
      <vt:variant>
        <vt:i4>0</vt:i4>
      </vt:variant>
      <vt:variant>
        <vt:i4>5</vt:i4>
      </vt:variant>
      <vt:variant>
        <vt:lpwstr/>
      </vt:variant>
      <vt:variant>
        <vt:lpwstr>_Toc196920899</vt:lpwstr>
      </vt:variant>
      <vt:variant>
        <vt:i4>1966141</vt:i4>
      </vt:variant>
      <vt:variant>
        <vt:i4>170</vt:i4>
      </vt:variant>
      <vt:variant>
        <vt:i4>0</vt:i4>
      </vt:variant>
      <vt:variant>
        <vt:i4>5</vt:i4>
      </vt:variant>
      <vt:variant>
        <vt:lpwstr/>
      </vt:variant>
      <vt:variant>
        <vt:lpwstr>_Toc196920898</vt:lpwstr>
      </vt:variant>
      <vt:variant>
        <vt:i4>1966141</vt:i4>
      </vt:variant>
      <vt:variant>
        <vt:i4>164</vt:i4>
      </vt:variant>
      <vt:variant>
        <vt:i4>0</vt:i4>
      </vt:variant>
      <vt:variant>
        <vt:i4>5</vt:i4>
      </vt:variant>
      <vt:variant>
        <vt:lpwstr/>
      </vt:variant>
      <vt:variant>
        <vt:lpwstr>_Toc196920897</vt:lpwstr>
      </vt:variant>
      <vt:variant>
        <vt:i4>1966141</vt:i4>
      </vt:variant>
      <vt:variant>
        <vt:i4>158</vt:i4>
      </vt:variant>
      <vt:variant>
        <vt:i4>0</vt:i4>
      </vt:variant>
      <vt:variant>
        <vt:i4>5</vt:i4>
      </vt:variant>
      <vt:variant>
        <vt:lpwstr/>
      </vt:variant>
      <vt:variant>
        <vt:lpwstr>_Toc196920896</vt:lpwstr>
      </vt:variant>
      <vt:variant>
        <vt:i4>1966141</vt:i4>
      </vt:variant>
      <vt:variant>
        <vt:i4>152</vt:i4>
      </vt:variant>
      <vt:variant>
        <vt:i4>0</vt:i4>
      </vt:variant>
      <vt:variant>
        <vt:i4>5</vt:i4>
      </vt:variant>
      <vt:variant>
        <vt:lpwstr/>
      </vt:variant>
      <vt:variant>
        <vt:lpwstr>_Toc196920895</vt:lpwstr>
      </vt:variant>
      <vt:variant>
        <vt:i4>1966141</vt:i4>
      </vt:variant>
      <vt:variant>
        <vt:i4>146</vt:i4>
      </vt:variant>
      <vt:variant>
        <vt:i4>0</vt:i4>
      </vt:variant>
      <vt:variant>
        <vt:i4>5</vt:i4>
      </vt:variant>
      <vt:variant>
        <vt:lpwstr/>
      </vt:variant>
      <vt:variant>
        <vt:lpwstr>_Toc196920894</vt:lpwstr>
      </vt:variant>
      <vt:variant>
        <vt:i4>1966141</vt:i4>
      </vt:variant>
      <vt:variant>
        <vt:i4>140</vt:i4>
      </vt:variant>
      <vt:variant>
        <vt:i4>0</vt:i4>
      </vt:variant>
      <vt:variant>
        <vt:i4>5</vt:i4>
      </vt:variant>
      <vt:variant>
        <vt:lpwstr/>
      </vt:variant>
      <vt:variant>
        <vt:lpwstr>_Toc196920893</vt:lpwstr>
      </vt:variant>
      <vt:variant>
        <vt:i4>1966141</vt:i4>
      </vt:variant>
      <vt:variant>
        <vt:i4>134</vt:i4>
      </vt:variant>
      <vt:variant>
        <vt:i4>0</vt:i4>
      </vt:variant>
      <vt:variant>
        <vt:i4>5</vt:i4>
      </vt:variant>
      <vt:variant>
        <vt:lpwstr/>
      </vt:variant>
      <vt:variant>
        <vt:lpwstr>_Toc196920892</vt:lpwstr>
      </vt:variant>
      <vt:variant>
        <vt:i4>1966141</vt:i4>
      </vt:variant>
      <vt:variant>
        <vt:i4>128</vt:i4>
      </vt:variant>
      <vt:variant>
        <vt:i4>0</vt:i4>
      </vt:variant>
      <vt:variant>
        <vt:i4>5</vt:i4>
      </vt:variant>
      <vt:variant>
        <vt:lpwstr/>
      </vt:variant>
      <vt:variant>
        <vt:lpwstr>_Toc196920891</vt:lpwstr>
      </vt:variant>
      <vt:variant>
        <vt:i4>1966141</vt:i4>
      </vt:variant>
      <vt:variant>
        <vt:i4>122</vt:i4>
      </vt:variant>
      <vt:variant>
        <vt:i4>0</vt:i4>
      </vt:variant>
      <vt:variant>
        <vt:i4>5</vt:i4>
      </vt:variant>
      <vt:variant>
        <vt:lpwstr/>
      </vt:variant>
      <vt:variant>
        <vt:lpwstr>_Toc196920890</vt:lpwstr>
      </vt:variant>
      <vt:variant>
        <vt:i4>2031677</vt:i4>
      </vt:variant>
      <vt:variant>
        <vt:i4>116</vt:i4>
      </vt:variant>
      <vt:variant>
        <vt:i4>0</vt:i4>
      </vt:variant>
      <vt:variant>
        <vt:i4>5</vt:i4>
      </vt:variant>
      <vt:variant>
        <vt:lpwstr/>
      </vt:variant>
      <vt:variant>
        <vt:lpwstr>_Toc196920889</vt:lpwstr>
      </vt:variant>
      <vt:variant>
        <vt:i4>2031677</vt:i4>
      </vt:variant>
      <vt:variant>
        <vt:i4>110</vt:i4>
      </vt:variant>
      <vt:variant>
        <vt:i4>0</vt:i4>
      </vt:variant>
      <vt:variant>
        <vt:i4>5</vt:i4>
      </vt:variant>
      <vt:variant>
        <vt:lpwstr/>
      </vt:variant>
      <vt:variant>
        <vt:lpwstr>_Toc196920888</vt:lpwstr>
      </vt:variant>
      <vt:variant>
        <vt:i4>2031677</vt:i4>
      </vt:variant>
      <vt:variant>
        <vt:i4>104</vt:i4>
      </vt:variant>
      <vt:variant>
        <vt:i4>0</vt:i4>
      </vt:variant>
      <vt:variant>
        <vt:i4>5</vt:i4>
      </vt:variant>
      <vt:variant>
        <vt:lpwstr/>
      </vt:variant>
      <vt:variant>
        <vt:lpwstr>_Toc196920887</vt:lpwstr>
      </vt:variant>
      <vt:variant>
        <vt:i4>2031677</vt:i4>
      </vt:variant>
      <vt:variant>
        <vt:i4>98</vt:i4>
      </vt:variant>
      <vt:variant>
        <vt:i4>0</vt:i4>
      </vt:variant>
      <vt:variant>
        <vt:i4>5</vt:i4>
      </vt:variant>
      <vt:variant>
        <vt:lpwstr/>
      </vt:variant>
      <vt:variant>
        <vt:lpwstr>_Toc196920886</vt:lpwstr>
      </vt:variant>
      <vt:variant>
        <vt:i4>2031677</vt:i4>
      </vt:variant>
      <vt:variant>
        <vt:i4>92</vt:i4>
      </vt:variant>
      <vt:variant>
        <vt:i4>0</vt:i4>
      </vt:variant>
      <vt:variant>
        <vt:i4>5</vt:i4>
      </vt:variant>
      <vt:variant>
        <vt:lpwstr/>
      </vt:variant>
      <vt:variant>
        <vt:lpwstr>_Toc196920885</vt:lpwstr>
      </vt:variant>
      <vt:variant>
        <vt:i4>2031677</vt:i4>
      </vt:variant>
      <vt:variant>
        <vt:i4>86</vt:i4>
      </vt:variant>
      <vt:variant>
        <vt:i4>0</vt:i4>
      </vt:variant>
      <vt:variant>
        <vt:i4>5</vt:i4>
      </vt:variant>
      <vt:variant>
        <vt:lpwstr/>
      </vt:variant>
      <vt:variant>
        <vt:lpwstr>_Toc196920884</vt:lpwstr>
      </vt:variant>
      <vt:variant>
        <vt:i4>2031677</vt:i4>
      </vt:variant>
      <vt:variant>
        <vt:i4>80</vt:i4>
      </vt:variant>
      <vt:variant>
        <vt:i4>0</vt:i4>
      </vt:variant>
      <vt:variant>
        <vt:i4>5</vt:i4>
      </vt:variant>
      <vt:variant>
        <vt:lpwstr/>
      </vt:variant>
      <vt:variant>
        <vt:lpwstr>_Toc196920883</vt:lpwstr>
      </vt:variant>
      <vt:variant>
        <vt:i4>2031677</vt:i4>
      </vt:variant>
      <vt:variant>
        <vt:i4>74</vt:i4>
      </vt:variant>
      <vt:variant>
        <vt:i4>0</vt:i4>
      </vt:variant>
      <vt:variant>
        <vt:i4>5</vt:i4>
      </vt:variant>
      <vt:variant>
        <vt:lpwstr/>
      </vt:variant>
      <vt:variant>
        <vt:lpwstr>_Toc196920882</vt:lpwstr>
      </vt:variant>
      <vt:variant>
        <vt:i4>2031677</vt:i4>
      </vt:variant>
      <vt:variant>
        <vt:i4>68</vt:i4>
      </vt:variant>
      <vt:variant>
        <vt:i4>0</vt:i4>
      </vt:variant>
      <vt:variant>
        <vt:i4>5</vt:i4>
      </vt:variant>
      <vt:variant>
        <vt:lpwstr/>
      </vt:variant>
      <vt:variant>
        <vt:lpwstr>_Toc196920881</vt:lpwstr>
      </vt:variant>
      <vt:variant>
        <vt:i4>2031677</vt:i4>
      </vt:variant>
      <vt:variant>
        <vt:i4>62</vt:i4>
      </vt:variant>
      <vt:variant>
        <vt:i4>0</vt:i4>
      </vt:variant>
      <vt:variant>
        <vt:i4>5</vt:i4>
      </vt:variant>
      <vt:variant>
        <vt:lpwstr/>
      </vt:variant>
      <vt:variant>
        <vt:lpwstr>_Toc196920880</vt:lpwstr>
      </vt:variant>
      <vt:variant>
        <vt:i4>1048637</vt:i4>
      </vt:variant>
      <vt:variant>
        <vt:i4>56</vt:i4>
      </vt:variant>
      <vt:variant>
        <vt:i4>0</vt:i4>
      </vt:variant>
      <vt:variant>
        <vt:i4>5</vt:i4>
      </vt:variant>
      <vt:variant>
        <vt:lpwstr/>
      </vt:variant>
      <vt:variant>
        <vt:lpwstr>_Toc196920879</vt:lpwstr>
      </vt:variant>
      <vt:variant>
        <vt:i4>1048637</vt:i4>
      </vt:variant>
      <vt:variant>
        <vt:i4>50</vt:i4>
      </vt:variant>
      <vt:variant>
        <vt:i4>0</vt:i4>
      </vt:variant>
      <vt:variant>
        <vt:i4>5</vt:i4>
      </vt:variant>
      <vt:variant>
        <vt:lpwstr/>
      </vt:variant>
      <vt:variant>
        <vt:lpwstr>_Toc196920878</vt:lpwstr>
      </vt:variant>
      <vt:variant>
        <vt:i4>1048637</vt:i4>
      </vt:variant>
      <vt:variant>
        <vt:i4>44</vt:i4>
      </vt:variant>
      <vt:variant>
        <vt:i4>0</vt:i4>
      </vt:variant>
      <vt:variant>
        <vt:i4>5</vt:i4>
      </vt:variant>
      <vt:variant>
        <vt:lpwstr/>
      </vt:variant>
      <vt:variant>
        <vt:lpwstr>_Toc196920877</vt:lpwstr>
      </vt:variant>
      <vt:variant>
        <vt:i4>1048637</vt:i4>
      </vt:variant>
      <vt:variant>
        <vt:i4>38</vt:i4>
      </vt:variant>
      <vt:variant>
        <vt:i4>0</vt:i4>
      </vt:variant>
      <vt:variant>
        <vt:i4>5</vt:i4>
      </vt:variant>
      <vt:variant>
        <vt:lpwstr/>
      </vt:variant>
      <vt:variant>
        <vt:lpwstr>_Toc196920876</vt:lpwstr>
      </vt:variant>
      <vt:variant>
        <vt:i4>1048637</vt:i4>
      </vt:variant>
      <vt:variant>
        <vt:i4>32</vt:i4>
      </vt:variant>
      <vt:variant>
        <vt:i4>0</vt:i4>
      </vt:variant>
      <vt:variant>
        <vt:i4>5</vt:i4>
      </vt:variant>
      <vt:variant>
        <vt:lpwstr/>
      </vt:variant>
      <vt:variant>
        <vt:lpwstr>_Toc196920875</vt:lpwstr>
      </vt:variant>
      <vt:variant>
        <vt:i4>1048637</vt:i4>
      </vt:variant>
      <vt:variant>
        <vt:i4>26</vt:i4>
      </vt:variant>
      <vt:variant>
        <vt:i4>0</vt:i4>
      </vt:variant>
      <vt:variant>
        <vt:i4>5</vt:i4>
      </vt:variant>
      <vt:variant>
        <vt:lpwstr/>
      </vt:variant>
      <vt:variant>
        <vt:lpwstr>_Toc196920874</vt:lpwstr>
      </vt:variant>
      <vt:variant>
        <vt:i4>1048637</vt:i4>
      </vt:variant>
      <vt:variant>
        <vt:i4>20</vt:i4>
      </vt:variant>
      <vt:variant>
        <vt:i4>0</vt:i4>
      </vt:variant>
      <vt:variant>
        <vt:i4>5</vt:i4>
      </vt:variant>
      <vt:variant>
        <vt:lpwstr/>
      </vt:variant>
      <vt:variant>
        <vt:lpwstr>_Toc196920873</vt:lpwstr>
      </vt:variant>
      <vt:variant>
        <vt:i4>1048637</vt:i4>
      </vt:variant>
      <vt:variant>
        <vt:i4>14</vt:i4>
      </vt:variant>
      <vt:variant>
        <vt:i4>0</vt:i4>
      </vt:variant>
      <vt:variant>
        <vt:i4>5</vt:i4>
      </vt:variant>
      <vt:variant>
        <vt:lpwstr/>
      </vt:variant>
      <vt:variant>
        <vt:lpwstr>_Toc196920872</vt:lpwstr>
      </vt:variant>
      <vt:variant>
        <vt:i4>1048637</vt:i4>
      </vt:variant>
      <vt:variant>
        <vt:i4>8</vt:i4>
      </vt:variant>
      <vt:variant>
        <vt:i4>0</vt:i4>
      </vt:variant>
      <vt:variant>
        <vt:i4>5</vt:i4>
      </vt:variant>
      <vt:variant>
        <vt:lpwstr/>
      </vt:variant>
      <vt:variant>
        <vt:lpwstr>_Toc196920871</vt:lpwstr>
      </vt:variant>
      <vt:variant>
        <vt:i4>1048637</vt:i4>
      </vt:variant>
      <vt:variant>
        <vt:i4>2</vt:i4>
      </vt:variant>
      <vt:variant>
        <vt:i4>0</vt:i4>
      </vt:variant>
      <vt:variant>
        <vt:i4>5</vt:i4>
      </vt:variant>
      <vt:variant>
        <vt:lpwstr/>
      </vt:variant>
      <vt:variant>
        <vt:lpwstr>_Toc196920870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Hussain</dc:creator>
  <cp:keywords/>
  <dc:description/>
  <cp:lastModifiedBy>Hannah Lewis</cp:lastModifiedBy>
  <cp:revision>68</cp:revision>
  <dcterms:created xsi:type="dcterms:W3CDTF">2025-04-18T00:21:00Z</dcterms:created>
  <dcterms:modified xsi:type="dcterms:W3CDTF">2025-05-06T09:49:00Z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Order">
    <vt:r8>155200</vt:r8>
  </property>
  <property fmtid="{D5CDD505-2E9C-101B-9397-08002B2CF9AE}" pid="4" name="MediaServiceImageTags">
    <vt:lpwstr/>
  </property>
</Properties>
</file>