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266E2" w14:textId="48BA9DEC" w:rsidR="003545D7" w:rsidRPr="00C25DF9" w:rsidRDefault="00874D37" w:rsidP="0021693C">
      <w:pPr>
        <w:pStyle w:val="Title"/>
      </w:pPr>
      <w:r w:rsidRPr="00C25DF9">
        <w:t>Interpreters</w:t>
      </w:r>
    </w:p>
    <w:p w14:paraId="7A81B8D3" w14:textId="77777777" w:rsidR="003545D7" w:rsidRPr="006303EC" w:rsidRDefault="003545D7" w:rsidP="0021693C"/>
    <w:p w14:paraId="5D9C76DA" w14:textId="77777777" w:rsidR="003545D7" w:rsidRPr="00983D66" w:rsidRDefault="003545D7" w:rsidP="0021693C">
      <w:pPr>
        <w:pStyle w:val="Heading2"/>
      </w:pPr>
      <w:r w:rsidRPr="00983D66">
        <w:t>DRAFT FOR CONSULTATION</w:t>
      </w:r>
    </w:p>
    <w:p w14:paraId="5688814E" w14:textId="77777777" w:rsidR="003545D7" w:rsidRPr="006303EC" w:rsidRDefault="003545D7" w:rsidP="00592B20">
      <w:pPr>
        <w:pStyle w:val="Heading2"/>
        <w:rPr>
          <w:b/>
          <w:bCs/>
        </w:rPr>
      </w:pPr>
      <w:r w:rsidRPr="006303EC">
        <w:t>June 2025</w:t>
      </w:r>
    </w:p>
    <w:p w14:paraId="5E57C8DD" w14:textId="16F30C98" w:rsidR="00592B20" w:rsidRPr="00592B20" w:rsidRDefault="003545D7" w:rsidP="00592B20">
      <w:pPr>
        <w:pStyle w:val="Heading4"/>
        <w:rPr>
          <w:i w:val="0"/>
          <w:iCs w:val="0"/>
          <w:color w:val="AA0000"/>
        </w:rPr>
      </w:pPr>
      <w:r w:rsidRPr="00592B20">
        <w:rPr>
          <w:i w:val="0"/>
          <w:iCs w:val="0"/>
          <w:color w:val="AA0000"/>
        </w:rPr>
        <w:t xml:space="preserve">Information contained within this document is for consultation only and should not be shared outside of this. </w:t>
      </w:r>
    </w:p>
    <w:p w14:paraId="0FDE0FC5" w14:textId="77777777" w:rsidR="003545D7" w:rsidRPr="006303EC" w:rsidRDefault="003545D7" w:rsidP="0021693C">
      <w:r w:rsidRPr="006303EC">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550FC4B1" w14:textId="77777777" w:rsidR="003545D7" w:rsidRPr="006303EC" w:rsidRDefault="003545D7" w:rsidP="0021693C">
      <w:r w:rsidRPr="006303EC">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a research reference.  </w:t>
      </w:r>
    </w:p>
    <w:p w14:paraId="58F9A91E" w14:textId="77777777" w:rsidR="003545D7" w:rsidRPr="006303EC" w:rsidRDefault="003545D7" w:rsidP="0021693C">
      <w:r w:rsidRPr="006303EC">
        <w:t>Members of the working group should not be contacted directly, and all feedback should be made through the assigned route e.g. via survey or project manager. Feedback made through unassigned routes or after the closing date will not be accepted or responded to. </w:t>
      </w:r>
    </w:p>
    <w:p w14:paraId="7CD9D689" w14:textId="77777777" w:rsidR="003545D7" w:rsidRPr="00592B20" w:rsidRDefault="003545D7" w:rsidP="0021693C">
      <w:pPr>
        <w:pStyle w:val="BodyText"/>
        <w:rPr>
          <w:sz w:val="22"/>
          <w:szCs w:val="22"/>
        </w:rPr>
      </w:pPr>
      <w:r w:rsidRPr="00592B20">
        <w:rPr>
          <w:sz w:val="22"/>
          <w:szCs w:val="22"/>
        </w:rPr>
        <w:t>Thank you for your support with this project.</w:t>
      </w:r>
    </w:p>
    <w:p w14:paraId="4C084286" w14:textId="77777777" w:rsidR="003545D7" w:rsidRPr="00592B20" w:rsidRDefault="003545D7" w:rsidP="0021693C">
      <w:pPr>
        <w:pStyle w:val="BodyText"/>
        <w:rPr>
          <w:sz w:val="22"/>
          <w:szCs w:val="22"/>
        </w:rPr>
      </w:pPr>
      <w:r w:rsidRPr="00592B20">
        <w:rPr>
          <w:sz w:val="22"/>
          <w:szCs w:val="22"/>
        </w:rPr>
        <w:t>Elizabeth Brookfield, Senior Project Manager</w:t>
      </w:r>
    </w:p>
    <w:p w14:paraId="73ECF926" w14:textId="77777777" w:rsidR="003545D7" w:rsidRPr="00592B20" w:rsidRDefault="003545D7" w:rsidP="0021693C">
      <w:pPr>
        <w:pStyle w:val="BodyText"/>
        <w:rPr>
          <w:sz w:val="22"/>
          <w:szCs w:val="22"/>
        </w:rPr>
      </w:pPr>
      <w:hyperlink r:id="rId10" w:history="1">
        <w:r w:rsidRPr="00592B20">
          <w:rPr>
            <w:rStyle w:val="Hyperlink"/>
            <w:sz w:val="22"/>
            <w:szCs w:val="22"/>
          </w:rPr>
          <w:t>elizabeth.brookfield@rcslt.org</w:t>
        </w:r>
      </w:hyperlink>
    </w:p>
    <w:p w14:paraId="651F2B47" w14:textId="77777777" w:rsidR="003545D7" w:rsidRPr="00592B20" w:rsidRDefault="003545D7" w:rsidP="0021693C">
      <w:pPr>
        <w:rPr>
          <w:rFonts w:eastAsia="Open Sans"/>
          <w:highlight w:val="yellow"/>
        </w:rPr>
      </w:pPr>
      <w:r w:rsidRPr="00592B20">
        <w:rPr>
          <w:highlight w:val="yellow"/>
        </w:rPr>
        <w:br w:type="page"/>
      </w:r>
    </w:p>
    <w:p w14:paraId="120F5A7C" w14:textId="524AE3B1" w:rsidR="00AB085C" w:rsidRPr="000342ED" w:rsidRDefault="005839CE" w:rsidP="00592B20">
      <w:pPr>
        <w:pStyle w:val="Heading1"/>
        <w:numPr>
          <w:ilvl w:val="0"/>
          <w:numId w:val="36"/>
        </w:numPr>
        <w:ind w:left="284"/>
      </w:pPr>
      <w:r w:rsidRPr="000342ED">
        <w:lastRenderedPageBreak/>
        <w:t xml:space="preserve">Key </w:t>
      </w:r>
      <w:r w:rsidR="007A22F9" w:rsidRPr="00614737">
        <w:t>p</w:t>
      </w:r>
      <w:r w:rsidRPr="00614737">
        <w:t>rinciples</w:t>
      </w:r>
    </w:p>
    <w:p w14:paraId="11BB24DC" w14:textId="76D2EA9D" w:rsidR="00AB085C" w:rsidRPr="000342ED" w:rsidRDefault="00AB085C" w:rsidP="0021693C">
      <w:pPr>
        <w:rPr>
          <w:rFonts w:eastAsiaTheme="minorHAnsi"/>
        </w:rPr>
      </w:pPr>
      <w:r w:rsidRPr="000342ED">
        <w:t xml:space="preserve">Speech and language therapists (SLTs) must provide equitable services to all service users, including those who require communication support through professional interpreters. This guidance outlines best practice for working with interpreters in speech and language therapy and aligns with professional standards and legal obligations under the </w:t>
      </w:r>
      <w:r w:rsidRPr="000342ED">
        <w:rPr>
          <w:b/>
          <w:bCs/>
        </w:rPr>
        <w:t>Equality Act 2010</w:t>
      </w:r>
      <w:r w:rsidRPr="000342ED">
        <w:t xml:space="preserve">. </w:t>
      </w:r>
    </w:p>
    <w:p w14:paraId="25379AA6" w14:textId="77777777" w:rsidR="005839CE" w:rsidRPr="00752B6C" w:rsidRDefault="005839CE" w:rsidP="0021693C">
      <w:pPr>
        <w:pStyle w:val="ListParagraph"/>
        <w:numPr>
          <w:ilvl w:val="0"/>
          <w:numId w:val="38"/>
        </w:numPr>
      </w:pPr>
      <w:r w:rsidRPr="00752B6C">
        <w:rPr>
          <w:b/>
          <w:bCs/>
        </w:rPr>
        <w:t>Interpreters are essential</w:t>
      </w:r>
      <w:r w:rsidRPr="00752B6C">
        <w:t xml:space="preserve"> for equitable access to speech and language therapy services for individuals who have an alternative home language to</w:t>
      </w:r>
      <w:r w:rsidR="000125E8" w:rsidRPr="00752B6C">
        <w:t xml:space="preserve"> English</w:t>
      </w:r>
      <w:r w:rsidRPr="00752B6C">
        <w:t>.</w:t>
      </w:r>
    </w:p>
    <w:p w14:paraId="61348A20" w14:textId="6A9CE9DE" w:rsidR="005839CE" w:rsidRPr="00752B6C" w:rsidRDefault="005839CE" w:rsidP="0021693C">
      <w:pPr>
        <w:pStyle w:val="ListParagraph"/>
        <w:numPr>
          <w:ilvl w:val="0"/>
          <w:numId w:val="38"/>
        </w:numPr>
      </w:pPr>
      <w:r w:rsidRPr="00752B6C">
        <w:rPr>
          <w:b/>
          <w:bCs/>
        </w:rPr>
        <w:t>Children, family members, and untrained individuals should never act as interpreters</w:t>
      </w:r>
      <w:r w:rsidRPr="00752B6C">
        <w:t xml:space="preserve"> due to ethical and confidentiality concerns (National Council on Interpreting in Health Care, 2011).</w:t>
      </w:r>
      <w:r w:rsidR="56D45BAE" w:rsidRPr="00752B6C">
        <w:t xml:space="preserve"> However, education staff, such as a classroom assistant, can act as a communication advocate whe</w:t>
      </w:r>
      <w:r w:rsidR="1C4646D6" w:rsidRPr="00752B6C">
        <w:t>n</w:t>
      </w:r>
      <w:r w:rsidR="56D45BAE" w:rsidRPr="00752B6C">
        <w:t xml:space="preserve"> deemed </w:t>
      </w:r>
      <w:r w:rsidR="4356B1B0" w:rsidRPr="00752B6C">
        <w:t>appropriate.</w:t>
      </w:r>
    </w:p>
    <w:p w14:paraId="37A3D3D4" w14:textId="5AC9F33D" w:rsidR="005839CE" w:rsidRPr="00752B6C" w:rsidRDefault="005839CE" w:rsidP="0021693C">
      <w:pPr>
        <w:pStyle w:val="ListParagraph"/>
        <w:numPr>
          <w:ilvl w:val="0"/>
          <w:numId w:val="38"/>
        </w:numPr>
      </w:pPr>
      <w:r w:rsidRPr="00752B6C">
        <w:rPr>
          <w:b/>
          <w:bCs/>
        </w:rPr>
        <w:t>SLTs must plan interpreter involvement carefully,</w:t>
      </w:r>
      <w:r w:rsidRPr="00752B6C">
        <w:t xml:space="preserve"> including pre-session briefings and post-session debriefs.</w:t>
      </w:r>
    </w:p>
    <w:p w14:paraId="108549F3" w14:textId="7FAE01C1" w:rsidR="00F565AD" w:rsidRPr="00752B6C" w:rsidRDefault="00F565AD" w:rsidP="0021693C">
      <w:pPr>
        <w:pStyle w:val="ListParagraph"/>
        <w:numPr>
          <w:ilvl w:val="0"/>
          <w:numId w:val="38"/>
        </w:numPr>
        <w:rPr>
          <w:rFonts w:eastAsia="Calibri"/>
        </w:rPr>
      </w:pPr>
      <w:r w:rsidRPr="00752B6C">
        <w:rPr>
          <w:rFonts w:eastAsia="Calibri"/>
        </w:rPr>
        <w:t>Legal requirements to provide equitable services (</w:t>
      </w:r>
      <w:hyperlink r:id="rId11" w:history="1">
        <w:r w:rsidRPr="00752B6C">
          <w:rPr>
            <w:rStyle w:val="Hyperlink"/>
            <w:rFonts w:eastAsia="Calibri"/>
            <w:b/>
            <w:bCs/>
          </w:rPr>
          <w:t>Equality Act, 2010</w:t>
        </w:r>
      </w:hyperlink>
      <w:r w:rsidRPr="00752B6C">
        <w:rPr>
          <w:rFonts w:eastAsia="Calibri"/>
        </w:rPr>
        <w:t xml:space="preserve">; </w:t>
      </w:r>
      <w:hyperlink r:id="rId12" w:history="1">
        <w:r w:rsidRPr="00752B6C">
          <w:rPr>
            <w:rStyle w:val="Hyperlink"/>
            <w:rFonts w:eastAsia="Calibri"/>
            <w:b/>
            <w:bCs/>
          </w:rPr>
          <w:t>United Nations Convention on the Rights of the Child</w:t>
        </w:r>
      </w:hyperlink>
      <w:r w:rsidRPr="00752B6C">
        <w:rPr>
          <w:rFonts w:eastAsia="Calibri"/>
        </w:rPr>
        <w:t>) should be considered above any financial implications of working with interpreters.</w:t>
      </w:r>
    </w:p>
    <w:p w14:paraId="209EBA37" w14:textId="77777777" w:rsidR="00FC2D86" w:rsidRPr="000342ED" w:rsidRDefault="005839CE" w:rsidP="0021693C">
      <w:r w:rsidRPr="000342ED">
        <w:t xml:space="preserve">Speech and language therapists (SLTs) should make every effort to use appropriate interpretation services when needed. In the case that it is not possible to find an interpreter, HCPC have stated that: </w:t>
      </w:r>
    </w:p>
    <w:p w14:paraId="27DA4445" w14:textId="36DB50CC" w:rsidR="005839CE" w:rsidRDefault="005839CE" w:rsidP="0021693C">
      <w:r w:rsidRPr="000342ED">
        <w:t xml:space="preserve">“Lack of appropriate interpreters should not be a barrier to service access. Where an interpreter is not available, registrants need to evidence their approach to using interpreters in consultation with service users to meet the standards. Failure to use an interpreter would not necessarily trigger a fitness to practice referral, and any such referral would be considered on its own merits and </w:t>
      </w:r>
      <w:proofErr w:type="gramStart"/>
      <w:r w:rsidRPr="000342ED">
        <w:t>taking into account</w:t>
      </w:r>
      <w:proofErr w:type="gramEnd"/>
      <w:r w:rsidRPr="000342ED">
        <w:t xml:space="preserve"> the </w:t>
      </w:r>
      <w:proofErr w:type="gramStart"/>
      <w:r w:rsidRPr="000342ED">
        <w:t>particular context</w:t>
      </w:r>
      <w:proofErr w:type="gramEnd"/>
      <w:r w:rsidRPr="000342ED">
        <w:t xml:space="preserve"> of the situation.”</w:t>
      </w:r>
    </w:p>
    <w:p w14:paraId="62A08D03" w14:textId="77777777" w:rsidR="00B32298" w:rsidRPr="000342ED" w:rsidRDefault="00B32298" w:rsidP="00B32298">
      <w:pPr>
        <w:spacing w:after="0"/>
      </w:pPr>
    </w:p>
    <w:p w14:paraId="72C4254D" w14:textId="316C658A" w:rsidR="00C4159E" w:rsidRPr="00C86638" w:rsidRDefault="00C4159E" w:rsidP="00B32298">
      <w:pPr>
        <w:pStyle w:val="Heading1"/>
        <w:numPr>
          <w:ilvl w:val="0"/>
          <w:numId w:val="36"/>
        </w:numPr>
        <w:ind w:left="284" w:hanging="284"/>
      </w:pPr>
      <w:r w:rsidRPr="00C86638">
        <w:t>HCPC requirements</w:t>
      </w:r>
    </w:p>
    <w:p w14:paraId="69D7FCD2" w14:textId="77777777" w:rsidR="00C4159E" w:rsidRPr="000342ED" w:rsidRDefault="00C4159E" w:rsidP="0021693C">
      <w:r w:rsidRPr="000342ED">
        <w:t xml:space="preserve">In </w:t>
      </w:r>
      <w:r w:rsidRPr="000342ED">
        <w:rPr>
          <w:bCs/>
        </w:rPr>
        <w:t>September 2023</w:t>
      </w:r>
      <w:r w:rsidRPr="000342ED">
        <w:t xml:space="preserve">, the HCPC updated its standards of proficiency for all registered professionals, reinforcing the importance of </w:t>
      </w:r>
      <w:r w:rsidRPr="000342ED">
        <w:rPr>
          <w:bCs/>
        </w:rPr>
        <w:t>inclusive communication practices</w:t>
      </w:r>
      <w:r w:rsidRPr="000342ED">
        <w:t xml:space="preserve">. The revised standards place a stronger emphasis on </w:t>
      </w:r>
      <w:r w:rsidRPr="000342ED">
        <w:rPr>
          <w:bCs/>
        </w:rPr>
        <w:t>using interpreters where required</w:t>
      </w:r>
      <w:r w:rsidRPr="000342ED">
        <w:t xml:space="preserve"> and ensuring that SLTs adapt their approach to meet the needs of diverse linguistic communities. These updates align with the broader goal of </w:t>
      </w:r>
      <w:r w:rsidRPr="000342ED">
        <w:rPr>
          <w:bCs/>
        </w:rPr>
        <w:t>enhancing accessibility and reducing health inequalities</w:t>
      </w:r>
      <w:r w:rsidRPr="000342ED">
        <w:t xml:space="preserve"> across speech and language therapy services. SLTs must document their decision-making when working with interpreters, ensuring compliance with professional expectations and regulatory requirements.</w:t>
      </w:r>
    </w:p>
    <w:p w14:paraId="1E0AFC40" w14:textId="77777777" w:rsidR="00C4159E" w:rsidRPr="000342ED" w:rsidRDefault="00C4159E" w:rsidP="0021693C">
      <w:r w:rsidRPr="000342ED">
        <w:lastRenderedPageBreak/>
        <w:t xml:space="preserve">The </w:t>
      </w:r>
      <w:r w:rsidRPr="000342ED">
        <w:rPr>
          <w:b/>
          <w:bCs/>
        </w:rPr>
        <w:t>Health and Care Professions Council (HCPC)</w:t>
      </w:r>
      <w:r w:rsidRPr="000342ED">
        <w:t xml:space="preserve"> sets out clear expectations for SLTs working with interpreters, including: </w:t>
      </w:r>
    </w:p>
    <w:p w14:paraId="267BF5AC" w14:textId="77777777" w:rsidR="00C4159E" w:rsidRPr="000342ED" w:rsidRDefault="00C4159E" w:rsidP="0021693C">
      <w:pPr>
        <w:pStyle w:val="ListParagraph"/>
        <w:numPr>
          <w:ilvl w:val="0"/>
          <w:numId w:val="21"/>
        </w:numPr>
      </w:pPr>
      <w:r w:rsidRPr="0021693C">
        <w:rPr>
          <w:b/>
          <w:bCs/>
        </w:rPr>
        <w:t>Standard 6.4:</w:t>
      </w:r>
      <w:r w:rsidRPr="000342ED">
        <w:t xml:space="preserve"> Confidentiality in interpreting contexts.</w:t>
      </w:r>
    </w:p>
    <w:p w14:paraId="7C8C99D4" w14:textId="77777777" w:rsidR="00C4159E" w:rsidRPr="000342ED" w:rsidRDefault="00C4159E" w:rsidP="0021693C">
      <w:pPr>
        <w:pStyle w:val="ListParagraph"/>
        <w:numPr>
          <w:ilvl w:val="0"/>
          <w:numId w:val="21"/>
        </w:numPr>
      </w:pPr>
      <w:r w:rsidRPr="0021693C">
        <w:rPr>
          <w:b/>
          <w:bCs/>
        </w:rPr>
        <w:t>Standard 7.6:</w:t>
      </w:r>
      <w:r w:rsidRPr="000342ED">
        <w:t xml:space="preserve"> The need for appropriate interpreter use.</w:t>
      </w:r>
    </w:p>
    <w:p w14:paraId="012D730F" w14:textId="58E41989" w:rsidR="00262B76" w:rsidRDefault="00C4159E" w:rsidP="0021693C">
      <w:pPr>
        <w:pStyle w:val="ListParagraph"/>
        <w:numPr>
          <w:ilvl w:val="0"/>
          <w:numId w:val="21"/>
        </w:numPr>
      </w:pPr>
      <w:r w:rsidRPr="0021693C">
        <w:rPr>
          <w:b/>
          <w:bCs/>
        </w:rPr>
        <w:t>Standard 13.20:</w:t>
      </w:r>
      <w:r w:rsidRPr="000342ED">
        <w:t xml:space="preserve"> Assessment and intervention should be conducted in the service user’s home language with a professional interpreter where possible.</w:t>
      </w:r>
    </w:p>
    <w:p w14:paraId="423AAB2C" w14:textId="77777777" w:rsidR="000B002E" w:rsidRPr="00652B7E" w:rsidRDefault="000B002E" w:rsidP="000B002E"/>
    <w:p w14:paraId="76150C59" w14:textId="158930F5" w:rsidR="00244D2C" w:rsidRPr="000342ED" w:rsidRDefault="00244D2C" w:rsidP="00B32298">
      <w:pPr>
        <w:pStyle w:val="Heading1"/>
        <w:numPr>
          <w:ilvl w:val="0"/>
          <w:numId w:val="36"/>
        </w:numPr>
        <w:ind w:left="284"/>
      </w:pPr>
      <w:r w:rsidRPr="000342ED">
        <w:t xml:space="preserve">Bilingualism </w:t>
      </w:r>
    </w:p>
    <w:p w14:paraId="2087B77B" w14:textId="291EBB01" w:rsidR="00244D2C" w:rsidRPr="00DC3B96" w:rsidRDefault="00244D2C" w:rsidP="0021693C">
      <w:r w:rsidRPr="00DC3B96">
        <w:t>Bilingualism does not cause or contribute to speech, language, communication, or swallowing disorders.</w:t>
      </w:r>
      <w:r w:rsidR="008D2ABE" w:rsidRPr="00DC3B96">
        <w:t xml:space="preserve"> The role of </w:t>
      </w:r>
      <w:r w:rsidR="008D2ABE" w:rsidRPr="00DC3B96">
        <w:rPr>
          <w:bCs/>
        </w:rPr>
        <w:t>interpreters and bilingual staff</w:t>
      </w:r>
      <w:r w:rsidR="008D2ABE" w:rsidRPr="00DC3B96">
        <w:t xml:space="preserve"> is crucial in ensuring high-quality, person-centred care, and should be integrated into all stages of assessment, advice, intervention, and decision-making processes.</w:t>
      </w:r>
    </w:p>
    <w:p w14:paraId="5E900C18" w14:textId="417C132E" w:rsidR="00244D2C" w:rsidRPr="00DC3B96" w:rsidRDefault="00244D2C" w:rsidP="0021693C">
      <w:r w:rsidRPr="00DC3B96">
        <w:t>SLTs must challenge common myths about bilingualism, particularly the assumption that exposure to multiple languages hinders development.</w:t>
      </w:r>
      <w:r w:rsidR="00C9434F" w:rsidRPr="00DC3B96">
        <w:t xml:space="preserve"> They should also </w:t>
      </w:r>
      <w:r w:rsidRPr="00DC3B96">
        <w:t>promote home language maintenance while supporting additional language development.</w:t>
      </w:r>
    </w:p>
    <w:p w14:paraId="64BC2507" w14:textId="2B824712" w:rsidR="00F367AE" w:rsidRDefault="00244D2C" w:rsidP="0021693C">
      <w:r w:rsidRPr="00DC3B96">
        <w:rPr>
          <w:bCs/>
        </w:rPr>
        <w:t>Providing an English-only service</w:t>
      </w:r>
      <w:r w:rsidRPr="00DC3B96">
        <w:t xml:space="preserve"> may be considered discriminatory and can lead to poorer outcomes for bilingual </w:t>
      </w:r>
      <w:r w:rsidR="006D79DA" w:rsidRPr="00DC3B96">
        <w:t>service users</w:t>
      </w:r>
      <w:r w:rsidRPr="00DC3B96">
        <w:t>. SLTs</w:t>
      </w:r>
      <w:r w:rsidRPr="00DC3B96" w:rsidDel="00AE1B06">
        <w:t xml:space="preserve"> </w:t>
      </w:r>
      <w:r w:rsidR="00AE1B06" w:rsidRPr="00DC3B96">
        <w:t xml:space="preserve">should </w:t>
      </w:r>
      <w:r w:rsidRPr="00DC3B96">
        <w:t>work with professional interpreters and provide interventions in both the home and additional language where possible.</w:t>
      </w:r>
    </w:p>
    <w:p w14:paraId="3FE091C0" w14:textId="77777777" w:rsidR="000B002E" w:rsidRPr="00F367AE" w:rsidRDefault="000B002E" w:rsidP="0021693C">
      <w:pPr>
        <w:rPr>
          <w:rFonts w:eastAsiaTheme="minorHAnsi"/>
        </w:rPr>
      </w:pPr>
    </w:p>
    <w:p w14:paraId="18842CA9" w14:textId="1905BD84" w:rsidR="00F565AD" w:rsidRPr="00F367AE" w:rsidRDefault="00F565AD" w:rsidP="00B32298">
      <w:pPr>
        <w:pStyle w:val="Heading1"/>
        <w:numPr>
          <w:ilvl w:val="0"/>
          <w:numId w:val="36"/>
        </w:numPr>
        <w:ind w:left="284"/>
      </w:pPr>
      <w:r w:rsidRPr="00F367AE">
        <w:t xml:space="preserve">The </w:t>
      </w:r>
      <w:r w:rsidR="00F367AE">
        <w:t>u</w:t>
      </w:r>
      <w:r w:rsidRPr="00F367AE">
        <w:t xml:space="preserve">se of </w:t>
      </w:r>
      <w:r w:rsidR="00F367AE">
        <w:t>s</w:t>
      </w:r>
      <w:r w:rsidRPr="00F367AE">
        <w:t xml:space="preserve">chool </w:t>
      </w:r>
      <w:r w:rsidR="00F367AE">
        <w:t>s</w:t>
      </w:r>
      <w:r w:rsidRPr="00F367AE">
        <w:t xml:space="preserve">taff as </w:t>
      </w:r>
      <w:r w:rsidR="00F367AE">
        <w:t>i</w:t>
      </w:r>
      <w:r w:rsidRPr="00F367AE">
        <w:t>nterpreters </w:t>
      </w:r>
    </w:p>
    <w:p w14:paraId="7B33C893" w14:textId="6B332AE5" w:rsidR="001E2178" w:rsidRPr="001E2178" w:rsidRDefault="00F565AD" w:rsidP="0021693C">
      <w:r w:rsidRPr="001E2178">
        <w:t>In line with best practice and professional standards, school staff, including teaching assistants and speech and language therapy assistants (SLTAs), should not be used as interpreters in speech and language therapy contexts. This is due to significant concerns regarding confidentiality, impartiality, and the risk of inaccurate translation. </w:t>
      </w:r>
    </w:p>
    <w:p w14:paraId="46B1A4D6" w14:textId="32C53B10" w:rsidR="00F565AD" w:rsidRPr="001E2178" w:rsidRDefault="00F565AD" w:rsidP="0021693C">
      <w:pPr>
        <w:rPr>
          <w:sz w:val="18"/>
          <w:szCs w:val="18"/>
        </w:rPr>
      </w:pPr>
      <w:r w:rsidRPr="001E2178">
        <w:t xml:space="preserve">Classroom assistants can act as </w:t>
      </w:r>
      <w:r w:rsidRPr="001E2178">
        <w:rPr>
          <w:b/>
          <w:bCs/>
        </w:rPr>
        <w:t>communication advocates</w:t>
      </w:r>
      <w:r w:rsidRPr="001E2178">
        <w:t xml:space="preserve"> in specific and appropriate circumstances, this role is distinct from that of a professional interpreter and should not include real-time language interpretation. The </w:t>
      </w:r>
      <w:r w:rsidRPr="001E2178">
        <w:rPr>
          <w:i/>
          <w:iCs/>
        </w:rPr>
        <w:t>Bilingualism guidance</w:t>
      </w:r>
      <w:r w:rsidRPr="001E2178">
        <w:t xml:space="preserve"> reinforces this by advocating for the consistent use of trained, professional interpreters throughout all stages of service delivery. </w:t>
      </w:r>
    </w:p>
    <w:p w14:paraId="280D85E1" w14:textId="77777777" w:rsidR="00F565AD" w:rsidRPr="001E2178" w:rsidRDefault="00F565AD" w:rsidP="0021693C">
      <w:pPr>
        <w:rPr>
          <w:sz w:val="18"/>
          <w:szCs w:val="18"/>
        </w:rPr>
      </w:pPr>
      <w:r w:rsidRPr="001E2178">
        <w:t xml:space="preserve">Using untrained or ad-hoc interpreters, including school staff, undermines equitable access, may lead to miscommunication or safeguarding risks, and could potentially result in discriminatory practice under the Equality Act 2010. Therefore, services must </w:t>
      </w:r>
      <w:r w:rsidRPr="001E2178">
        <w:lastRenderedPageBreak/>
        <w:t>prioritise the use of qualified interpreters with healthcare experience and avoid the use of educational staff for interpreting roles. </w:t>
      </w:r>
    </w:p>
    <w:p w14:paraId="594A1E0D" w14:textId="4BAFE8EA" w:rsidR="1AB62D57" w:rsidRDefault="39DE0D59" w:rsidP="0021693C">
      <w:r w:rsidRPr="000342ED">
        <w:t xml:space="preserve">For further detailed recommendations, the </w:t>
      </w:r>
      <w:hyperlink r:id="rId13" w:history="1">
        <w:r w:rsidRPr="000342ED">
          <w:rPr>
            <w:color w:val="0000FF"/>
            <w:u w:val="single"/>
          </w:rPr>
          <w:t>RCSLT bilingualism guidance</w:t>
        </w:r>
      </w:hyperlink>
      <w:r w:rsidRPr="000342ED">
        <w:t xml:space="preserve"> provides comprehensive information on working with bilingual service users and ensuring their needs are met effectively.</w:t>
      </w:r>
    </w:p>
    <w:p w14:paraId="48662C96" w14:textId="77777777" w:rsidR="000B002E" w:rsidRPr="000342ED" w:rsidRDefault="000B002E" w:rsidP="0021693C"/>
    <w:p w14:paraId="7534F107" w14:textId="13B5B5A4" w:rsidR="005839CE" w:rsidRPr="000342ED" w:rsidRDefault="00CB7F2F" w:rsidP="009707EA">
      <w:pPr>
        <w:pStyle w:val="Heading1"/>
      </w:pPr>
      <w:r>
        <w:t xml:space="preserve">5. </w:t>
      </w:r>
      <w:r w:rsidR="005839CE" w:rsidRPr="000342ED">
        <w:t xml:space="preserve">Working with </w:t>
      </w:r>
      <w:r w:rsidR="00466E72" w:rsidRPr="000342ED">
        <w:t>i</w:t>
      </w:r>
      <w:r w:rsidR="005839CE" w:rsidRPr="000342ED">
        <w:t>nterpreters</w:t>
      </w:r>
    </w:p>
    <w:p w14:paraId="0B0F94CE" w14:textId="04E7422C" w:rsidR="005839CE" w:rsidRPr="000342ED" w:rsidRDefault="00576DED" w:rsidP="0021693C">
      <w:pPr>
        <w:pStyle w:val="Heading2"/>
      </w:pPr>
      <w:r>
        <w:t>5.1</w:t>
      </w:r>
      <w:r w:rsidR="005839CE" w:rsidRPr="000342ED">
        <w:t xml:space="preserve"> Choosing an </w:t>
      </w:r>
      <w:r w:rsidR="00466E72" w:rsidRPr="00D42AEC">
        <w:t>i</w:t>
      </w:r>
      <w:r w:rsidR="005839CE" w:rsidRPr="00D42AEC">
        <w:t>nterpreter</w:t>
      </w:r>
    </w:p>
    <w:p w14:paraId="758890FA" w14:textId="68551AE7" w:rsidR="361E8AA5" w:rsidRPr="000342ED" w:rsidRDefault="361E8AA5" w:rsidP="0021693C">
      <w:pPr>
        <w:pStyle w:val="ListParagraph"/>
        <w:numPr>
          <w:ilvl w:val="0"/>
          <w:numId w:val="16"/>
        </w:numPr>
      </w:pPr>
      <w:r w:rsidRPr="000342ED">
        <w:t>Consider the nature of interpreting service you require and the rational</w:t>
      </w:r>
      <w:r w:rsidR="71BFC4DF" w:rsidRPr="000342ED">
        <w:t>e</w:t>
      </w:r>
      <w:r w:rsidRPr="000342ED">
        <w:t xml:space="preserve"> behind that decision. Clearly document this</w:t>
      </w:r>
      <w:r w:rsidR="35F95A86" w:rsidRPr="000342ED">
        <w:t xml:space="preserve"> decision making and rationale</w:t>
      </w:r>
      <w:r w:rsidRPr="000342ED">
        <w:t xml:space="preserve"> within your clinical records.</w:t>
      </w:r>
    </w:p>
    <w:p w14:paraId="6FCC4EAB" w14:textId="77777777" w:rsidR="005839CE" w:rsidRPr="000342ED" w:rsidRDefault="005839CE" w:rsidP="0021693C">
      <w:pPr>
        <w:pStyle w:val="ListParagraph"/>
        <w:numPr>
          <w:ilvl w:val="0"/>
          <w:numId w:val="16"/>
        </w:numPr>
      </w:pPr>
      <w:r w:rsidRPr="000342ED">
        <w:t>Use professional interpreters with training in medical and healthcare settings.</w:t>
      </w:r>
    </w:p>
    <w:p w14:paraId="5131A90B" w14:textId="22E3CB58" w:rsidR="7AFB1B19" w:rsidRPr="000342ED" w:rsidRDefault="7AFB1B19" w:rsidP="0021693C">
      <w:pPr>
        <w:pStyle w:val="ListParagraph"/>
        <w:numPr>
          <w:ilvl w:val="0"/>
          <w:numId w:val="16"/>
        </w:numPr>
      </w:pPr>
      <w:r w:rsidRPr="000342ED">
        <w:t>Interpreter support should not be via online/text translation services</w:t>
      </w:r>
      <w:r w:rsidR="0008485F" w:rsidRPr="000342ED">
        <w:t xml:space="preserve"> (e.g. google translate)</w:t>
      </w:r>
      <w:r w:rsidRPr="000342ED">
        <w:t>.</w:t>
      </w:r>
    </w:p>
    <w:p w14:paraId="0BF2D9EE" w14:textId="48EB2C76" w:rsidR="005839CE" w:rsidRPr="000342ED" w:rsidRDefault="005839CE" w:rsidP="0021693C">
      <w:pPr>
        <w:pStyle w:val="ListParagraph"/>
        <w:numPr>
          <w:ilvl w:val="0"/>
          <w:numId w:val="16"/>
        </w:numPr>
      </w:pPr>
      <w:r w:rsidRPr="000342ED">
        <w:t xml:space="preserve">Avoid using family members, particularly children, </w:t>
      </w:r>
      <w:r w:rsidR="4E9C81C0" w:rsidRPr="000342ED">
        <w:t xml:space="preserve">or education staff, </w:t>
      </w:r>
      <w:r w:rsidRPr="000342ED">
        <w:t>due to confidentiality and accuracy risks.</w:t>
      </w:r>
      <w:r w:rsidR="50796B23" w:rsidRPr="000342ED">
        <w:t xml:space="preserve"> </w:t>
      </w:r>
    </w:p>
    <w:p w14:paraId="7E9F30D6" w14:textId="77777777" w:rsidR="005839CE" w:rsidRPr="000342ED" w:rsidRDefault="005839CE" w:rsidP="0021693C">
      <w:pPr>
        <w:pStyle w:val="ListParagraph"/>
        <w:numPr>
          <w:ilvl w:val="0"/>
          <w:numId w:val="16"/>
        </w:numPr>
      </w:pPr>
      <w:r w:rsidRPr="000342ED">
        <w:t>Consider cultural knowledge and language variants when selecting an interpreter.</w:t>
      </w:r>
    </w:p>
    <w:p w14:paraId="3C21767B" w14:textId="2F024467" w:rsidR="005839CE" w:rsidRPr="000342ED" w:rsidRDefault="00576DED" w:rsidP="0021693C">
      <w:pPr>
        <w:pStyle w:val="Heading2"/>
      </w:pPr>
      <w:r>
        <w:t>5.</w:t>
      </w:r>
      <w:r w:rsidR="005839CE" w:rsidRPr="000342ED">
        <w:t>2 Pre-</w:t>
      </w:r>
      <w:r w:rsidR="00466E72" w:rsidRPr="000342ED">
        <w:t>s</w:t>
      </w:r>
      <w:r w:rsidR="005839CE" w:rsidRPr="000342ED">
        <w:t xml:space="preserve">ession </w:t>
      </w:r>
      <w:r w:rsidR="00466E72" w:rsidRPr="000342ED">
        <w:t>p</w:t>
      </w:r>
      <w:r w:rsidR="005839CE" w:rsidRPr="000342ED">
        <w:t>lanning</w:t>
      </w:r>
    </w:p>
    <w:p w14:paraId="6ACB2685" w14:textId="77777777" w:rsidR="005839CE" w:rsidRPr="000342ED" w:rsidRDefault="005839CE" w:rsidP="0021693C">
      <w:pPr>
        <w:pStyle w:val="ListParagraph"/>
        <w:numPr>
          <w:ilvl w:val="0"/>
          <w:numId w:val="17"/>
        </w:numPr>
      </w:pPr>
      <w:r w:rsidRPr="000342ED">
        <w:t>Provide interpreters with an overview of the session’s objectives.</w:t>
      </w:r>
    </w:p>
    <w:p w14:paraId="0E91B45B" w14:textId="77777777" w:rsidR="005839CE" w:rsidRPr="000342ED" w:rsidRDefault="005839CE" w:rsidP="0021693C">
      <w:pPr>
        <w:pStyle w:val="ListParagraph"/>
        <w:numPr>
          <w:ilvl w:val="0"/>
          <w:numId w:val="17"/>
        </w:numPr>
      </w:pPr>
      <w:r w:rsidRPr="000342ED">
        <w:t>Clarify any technical terminology, particularly in phonological assessments where direct translation may not be possible.</w:t>
      </w:r>
    </w:p>
    <w:p w14:paraId="06C0BA3D" w14:textId="77777777" w:rsidR="005839CE" w:rsidRPr="000342ED" w:rsidRDefault="005839CE" w:rsidP="0021693C">
      <w:pPr>
        <w:pStyle w:val="ListParagraph"/>
        <w:numPr>
          <w:ilvl w:val="0"/>
          <w:numId w:val="17"/>
        </w:numPr>
      </w:pPr>
      <w:r w:rsidRPr="000342ED">
        <w:t>Discuss confidentiality and the interpreter’s role as a neutral facilitator.</w:t>
      </w:r>
    </w:p>
    <w:p w14:paraId="2AB56BF6" w14:textId="77777777" w:rsidR="005839CE" w:rsidRPr="000342ED" w:rsidRDefault="005839CE" w:rsidP="0021693C">
      <w:pPr>
        <w:pStyle w:val="ListParagraph"/>
        <w:numPr>
          <w:ilvl w:val="0"/>
          <w:numId w:val="17"/>
        </w:numPr>
      </w:pPr>
      <w:r w:rsidRPr="000342ED">
        <w:t xml:space="preserve">Establish a start and end time – be prepared </w:t>
      </w:r>
      <w:r w:rsidR="0031495C" w:rsidRPr="000342ED">
        <w:t>for the session to take twice as long.</w:t>
      </w:r>
    </w:p>
    <w:p w14:paraId="0CFB7FE2" w14:textId="77777777" w:rsidR="0031495C" w:rsidRPr="000342ED" w:rsidRDefault="0031495C" w:rsidP="0021693C">
      <w:pPr>
        <w:pStyle w:val="ListParagraph"/>
        <w:numPr>
          <w:ilvl w:val="0"/>
          <w:numId w:val="17"/>
        </w:numPr>
      </w:pPr>
      <w:r w:rsidRPr="000342ED">
        <w:t>Discuss with the interpreter any culturally specific differences that may impact on the interaction.</w:t>
      </w:r>
    </w:p>
    <w:p w14:paraId="2C8F091D" w14:textId="05FC8321" w:rsidR="00B442DC" w:rsidRPr="00F8194B" w:rsidRDefault="0031495C" w:rsidP="0021693C">
      <w:pPr>
        <w:pStyle w:val="ListParagraph"/>
        <w:numPr>
          <w:ilvl w:val="0"/>
          <w:numId w:val="17"/>
        </w:numPr>
      </w:pPr>
      <w:r w:rsidRPr="000342ED">
        <w:t xml:space="preserve">Explain safeguarding procedures and ensure that an understanding that any disclosure made in the home language will need to involve the interpreter in </w:t>
      </w:r>
      <w:r w:rsidR="0011125F" w:rsidRPr="000342ED">
        <w:t xml:space="preserve">the </w:t>
      </w:r>
      <w:r w:rsidRPr="000342ED">
        <w:t xml:space="preserve">safeguarding process. </w:t>
      </w:r>
    </w:p>
    <w:p w14:paraId="1CFFA9A8" w14:textId="745E3A56" w:rsidR="2F0AD5D9" w:rsidRPr="00F35DE7" w:rsidRDefault="00576DED" w:rsidP="0021693C">
      <w:pPr>
        <w:pStyle w:val="Heading2"/>
      </w:pPr>
      <w:r>
        <w:t>5.</w:t>
      </w:r>
      <w:r w:rsidR="005839CE" w:rsidRPr="000342ED">
        <w:t xml:space="preserve">3 During the </w:t>
      </w:r>
      <w:r w:rsidR="00466E72" w:rsidRPr="000342ED">
        <w:t>s</w:t>
      </w:r>
      <w:r w:rsidR="005839CE" w:rsidRPr="000342ED">
        <w:t>ession</w:t>
      </w:r>
    </w:p>
    <w:p w14:paraId="6C69BAD4" w14:textId="6F214896" w:rsidR="1F5B5D17" w:rsidRPr="000342ED" w:rsidRDefault="1F5B5D17" w:rsidP="0021693C">
      <w:r w:rsidRPr="000342ED">
        <w:t xml:space="preserve">Where the </w:t>
      </w:r>
      <w:r w:rsidR="23B88F3E" w:rsidRPr="000342ED">
        <w:t>interpreter</w:t>
      </w:r>
      <w:r w:rsidRPr="000342ED">
        <w:t xml:space="preserve"> is required to </w:t>
      </w:r>
      <w:r w:rsidR="6036E1BE" w:rsidRPr="000342ED">
        <w:t>provide a face-to-face service, either in person or via virtual means:</w:t>
      </w:r>
    </w:p>
    <w:p w14:paraId="174A3637" w14:textId="3CBBD308" w:rsidR="005839CE" w:rsidRPr="000342ED" w:rsidRDefault="00D723A0" w:rsidP="0021693C">
      <w:pPr>
        <w:pStyle w:val="ListParagraph"/>
        <w:numPr>
          <w:ilvl w:val="0"/>
          <w:numId w:val="18"/>
        </w:numPr>
      </w:pPr>
      <w:r w:rsidRPr="000342ED">
        <w:t>a</w:t>
      </w:r>
      <w:r w:rsidR="005839CE" w:rsidRPr="000342ED">
        <w:t xml:space="preserve">ddress the </w:t>
      </w:r>
      <w:r w:rsidR="000E2C3F" w:rsidRPr="000342ED">
        <w:t xml:space="preserve">service user </w:t>
      </w:r>
      <w:r w:rsidR="005839CE" w:rsidRPr="000342ED">
        <w:t>directly, not the interpreter (e.g., avoid “Can you ask…” statements)</w:t>
      </w:r>
    </w:p>
    <w:p w14:paraId="150E8F03" w14:textId="4E39E1D0" w:rsidR="005839CE" w:rsidRPr="000342ED" w:rsidRDefault="00D723A0" w:rsidP="0021693C">
      <w:pPr>
        <w:pStyle w:val="ListParagraph"/>
        <w:numPr>
          <w:ilvl w:val="0"/>
          <w:numId w:val="18"/>
        </w:numPr>
      </w:pPr>
      <w:r w:rsidRPr="000342ED">
        <w:lastRenderedPageBreak/>
        <w:t>u</w:t>
      </w:r>
      <w:r w:rsidR="005839CE" w:rsidRPr="000342ED">
        <w:t xml:space="preserve">se a seating arrangement that allows the </w:t>
      </w:r>
      <w:r w:rsidR="000E2C3F" w:rsidRPr="000342ED">
        <w:t>service user</w:t>
      </w:r>
      <w:r w:rsidR="005839CE" w:rsidRPr="000342ED">
        <w:t>, SLT, and interpreter to see one another’s facial expressions</w:t>
      </w:r>
    </w:p>
    <w:p w14:paraId="6A9124F4" w14:textId="0B57D936" w:rsidR="005839CE" w:rsidRPr="000342ED" w:rsidRDefault="00D723A0" w:rsidP="0021693C">
      <w:pPr>
        <w:pStyle w:val="ListParagraph"/>
        <w:numPr>
          <w:ilvl w:val="0"/>
          <w:numId w:val="18"/>
        </w:numPr>
      </w:pPr>
      <w:r w:rsidRPr="000342ED">
        <w:t>m</w:t>
      </w:r>
      <w:r w:rsidR="005839CE" w:rsidRPr="000342ED">
        <w:t xml:space="preserve">aintain professional rapport with both the interpreter and </w:t>
      </w:r>
      <w:r w:rsidR="000E2C3F" w:rsidRPr="000342ED">
        <w:t>service user</w:t>
      </w:r>
    </w:p>
    <w:p w14:paraId="5D438DB0" w14:textId="310894BD" w:rsidR="0031495C" w:rsidRPr="000342ED" w:rsidRDefault="00B31ADE" w:rsidP="0021693C">
      <w:pPr>
        <w:pStyle w:val="ListParagraph"/>
        <w:numPr>
          <w:ilvl w:val="0"/>
          <w:numId w:val="18"/>
        </w:numPr>
      </w:pPr>
      <w:r w:rsidRPr="000342ED">
        <w:t>e</w:t>
      </w:r>
      <w:r w:rsidR="00977C02" w:rsidRPr="000342ED">
        <w:t>xplain to</w:t>
      </w:r>
      <w:r w:rsidR="0031495C" w:rsidRPr="000342ED">
        <w:t xml:space="preserve"> the </w:t>
      </w:r>
      <w:r w:rsidR="00977C02" w:rsidRPr="000342ED">
        <w:t xml:space="preserve">service user </w:t>
      </w:r>
      <w:r w:rsidR="0031495C" w:rsidRPr="000342ED">
        <w:t xml:space="preserve">at the start of the session how </w:t>
      </w:r>
      <w:r w:rsidR="00977C02" w:rsidRPr="000342ED">
        <w:t>it</w:t>
      </w:r>
      <w:r w:rsidR="0031495C" w:rsidRPr="000342ED">
        <w:t xml:space="preserve"> is going to run and that the therapist is running the session. Allocate time to ensure everyone is introduced (names and roles) and understand their role and the way the session will run</w:t>
      </w:r>
    </w:p>
    <w:p w14:paraId="039F8C1B" w14:textId="54360BD9" w:rsidR="0031495C" w:rsidRPr="000342ED" w:rsidRDefault="00A105AD" w:rsidP="0021693C">
      <w:pPr>
        <w:pStyle w:val="ListParagraph"/>
        <w:numPr>
          <w:ilvl w:val="0"/>
          <w:numId w:val="18"/>
        </w:numPr>
      </w:pPr>
      <w:r w:rsidRPr="000342ED">
        <w:t>e</w:t>
      </w:r>
      <w:r w:rsidR="0031495C" w:rsidRPr="000342ED">
        <w:t xml:space="preserve">xplain to the </w:t>
      </w:r>
      <w:r w:rsidR="0022372E" w:rsidRPr="000342ED">
        <w:t>service user</w:t>
      </w:r>
      <w:r w:rsidR="0031495C" w:rsidRPr="000342ED">
        <w:t xml:space="preserve"> that everything that is said will be interpreted, and check whether that is OK. If they do not consent to this, there must be an agreed procedure guided by local policy</w:t>
      </w:r>
    </w:p>
    <w:p w14:paraId="1ACEA241" w14:textId="38715CC6" w:rsidR="0031495C" w:rsidRPr="000342ED" w:rsidRDefault="00421B63" w:rsidP="0021693C">
      <w:pPr>
        <w:pStyle w:val="ListParagraph"/>
        <w:numPr>
          <w:ilvl w:val="0"/>
          <w:numId w:val="18"/>
        </w:numPr>
      </w:pPr>
      <w:r w:rsidRPr="000342ED">
        <w:t>a</w:t>
      </w:r>
      <w:r w:rsidR="0031495C" w:rsidRPr="000342ED">
        <w:t xml:space="preserve">t the end of the session, check that </w:t>
      </w:r>
      <w:r w:rsidR="0022372E" w:rsidRPr="000342ED">
        <w:t xml:space="preserve">the service user </w:t>
      </w:r>
      <w:r w:rsidR="0031495C" w:rsidRPr="000342ED">
        <w:t>has understood everything</w:t>
      </w:r>
      <w:r w:rsidR="00406EC0" w:rsidRPr="000342ED">
        <w:t xml:space="preserve"> and</w:t>
      </w:r>
      <w:r w:rsidR="0031495C" w:rsidRPr="000342ED">
        <w:t xml:space="preserve"> allow them to ask questions</w:t>
      </w:r>
      <w:r w:rsidR="00406EC0" w:rsidRPr="000342ED">
        <w:t>.</w:t>
      </w:r>
    </w:p>
    <w:p w14:paraId="481DAAF0" w14:textId="45AE9AC0" w:rsidR="0012037D" w:rsidRPr="000342ED" w:rsidRDefault="506E3A8A" w:rsidP="0021693C">
      <w:r w:rsidRPr="000342ED">
        <w:t>Whe</w:t>
      </w:r>
      <w:r w:rsidR="008F4CB2" w:rsidRPr="000342ED">
        <w:t>n</w:t>
      </w:r>
      <w:r w:rsidRPr="000342ED">
        <w:t xml:space="preserve"> the interpreter service is via telephone </w:t>
      </w:r>
      <w:r w:rsidR="00F02352" w:rsidRPr="000342ED">
        <w:t>(if</w:t>
      </w:r>
      <w:r w:rsidR="00FC3C6E" w:rsidRPr="000342ED">
        <w:t xml:space="preserve"> it is</w:t>
      </w:r>
      <w:r w:rsidR="00F02352" w:rsidRPr="000342ED">
        <w:t xml:space="preserve"> </w:t>
      </w:r>
      <w:r w:rsidRPr="000342ED">
        <w:t>deemed appropriate or</w:t>
      </w:r>
      <w:r w:rsidR="00ED6F40" w:rsidRPr="000342ED">
        <w:t xml:space="preserve"> is</w:t>
      </w:r>
      <w:r w:rsidRPr="000342ED">
        <w:t xml:space="preserve"> the only available option</w:t>
      </w:r>
      <w:r w:rsidR="00BE7A14">
        <w:t>)</w:t>
      </w:r>
      <w:r w:rsidRPr="000342ED">
        <w:t>:</w:t>
      </w:r>
    </w:p>
    <w:p w14:paraId="015578C7" w14:textId="13F51CD3" w:rsidR="005D19C2" w:rsidRPr="000342ED" w:rsidRDefault="00576DED" w:rsidP="0021693C">
      <w:pPr>
        <w:pStyle w:val="Heading3"/>
      </w:pPr>
      <w:r>
        <w:t>5.</w:t>
      </w:r>
      <w:r w:rsidR="00C20BA1">
        <w:t xml:space="preserve">3.1 </w:t>
      </w:r>
      <w:r w:rsidR="005D19C2" w:rsidRPr="000342ED">
        <w:t>Preparing for the call</w:t>
      </w:r>
    </w:p>
    <w:p w14:paraId="629EC782" w14:textId="77777777" w:rsidR="00880294" w:rsidRDefault="005D19C2" w:rsidP="0021693C">
      <w:pPr>
        <w:pStyle w:val="paragraph"/>
        <w:numPr>
          <w:ilvl w:val="0"/>
          <w:numId w:val="33"/>
        </w:numPr>
        <w:rPr>
          <w:rStyle w:val="normaltextrun"/>
          <w:rFonts w:ascii="Open Sans" w:hAnsi="Open Sans" w:cs="Open Sans"/>
          <w:sz w:val="22"/>
          <w:szCs w:val="22"/>
        </w:rPr>
      </w:pPr>
      <w:r w:rsidRPr="000342ED">
        <w:rPr>
          <w:rStyle w:val="normaltextrun"/>
          <w:rFonts w:ascii="Open Sans" w:hAnsi="Open Sans" w:cs="Open Sans"/>
          <w:sz w:val="22"/>
          <w:szCs w:val="22"/>
        </w:rPr>
        <w:t xml:space="preserve">Be particularly mindful of safeguarding </w:t>
      </w:r>
      <w:r w:rsidR="004B4770" w:rsidRPr="000342ED">
        <w:rPr>
          <w:rStyle w:val="normaltextrun"/>
          <w:rFonts w:ascii="Open Sans" w:hAnsi="Open Sans" w:cs="Open Sans"/>
          <w:sz w:val="22"/>
          <w:szCs w:val="22"/>
        </w:rPr>
        <w:t xml:space="preserve">issues </w:t>
      </w:r>
      <w:r w:rsidRPr="000342ED">
        <w:rPr>
          <w:rStyle w:val="normaltextrun"/>
          <w:rFonts w:ascii="Open Sans" w:hAnsi="Open Sans" w:cs="Open Sans"/>
          <w:sz w:val="22"/>
          <w:szCs w:val="22"/>
        </w:rPr>
        <w:t xml:space="preserve">and </w:t>
      </w:r>
      <w:r w:rsidR="004B4770" w:rsidRPr="000342ED">
        <w:rPr>
          <w:rStyle w:val="normaltextrun"/>
          <w:rFonts w:ascii="Open Sans" w:hAnsi="Open Sans" w:cs="Open Sans"/>
          <w:sz w:val="22"/>
          <w:szCs w:val="22"/>
        </w:rPr>
        <w:t xml:space="preserve">discussing </w:t>
      </w:r>
      <w:r w:rsidRPr="000342ED">
        <w:rPr>
          <w:rStyle w:val="normaltextrun"/>
          <w:rFonts w:ascii="Open Sans" w:hAnsi="Open Sans" w:cs="Open Sans"/>
          <w:sz w:val="22"/>
          <w:szCs w:val="22"/>
        </w:rPr>
        <w:t>sensitive content</w:t>
      </w:r>
      <w:r w:rsidR="004B4770" w:rsidRPr="000342ED">
        <w:rPr>
          <w:rStyle w:val="normaltextrun"/>
          <w:rFonts w:ascii="Open Sans" w:hAnsi="Open Sans" w:cs="Open Sans"/>
          <w:sz w:val="22"/>
          <w:szCs w:val="22"/>
        </w:rPr>
        <w:t>.</w:t>
      </w:r>
    </w:p>
    <w:p w14:paraId="178078B2" w14:textId="22CCFC81" w:rsidR="005D19C2" w:rsidRPr="00880294" w:rsidRDefault="004B4770" w:rsidP="0021693C">
      <w:pPr>
        <w:pStyle w:val="paragraph"/>
        <w:numPr>
          <w:ilvl w:val="0"/>
          <w:numId w:val="33"/>
        </w:numPr>
      </w:pPr>
      <w:r w:rsidRPr="000342ED">
        <w:rPr>
          <w:rStyle w:val="normaltextrun"/>
          <w:rFonts w:ascii="Open Sans" w:hAnsi="Open Sans" w:cs="Open Sans"/>
          <w:sz w:val="22"/>
          <w:szCs w:val="22"/>
        </w:rPr>
        <w:t>H</w:t>
      </w:r>
      <w:r w:rsidR="005D19C2" w:rsidRPr="000342ED">
        <w:rPr>
          <w:rStyle w:val="normaltextrun"/>
          <w:rFonts w:ascii="Open Sans" w:hAnsi="Open Sans" w:cs="Open Sans"/>
          <w:sz w:val="22"/>
          <w:szCs w:val="22"/>
        </w:rPr>
        <w:t>ave a clear plan for action if concerns arise</w:t>
      </w:r>
      <w:r w:rsidRPr="000342ED">
        <w:rPr>
          <w:rStyle w:val="normaltextrun"/>
          <w:rFonts w:ascii="Open Sans" w:hAnsi="Open Sans" w:cs="Open Sans"/>
          <w:sz w:val="22"/>
          <w:szCs w:val="22"/>
        </w:rPr>
        <w:t xml:space="preserve"> during the call</w:t>
      </w:r>
      <w:r w:rsidR="005D19C2" w:rsidRPr="000342ED">
        <w:rPr>
          <w:rStyle w:val="normaltextrun"/>
          <w:rFonts w:ascii="Open Sans" w:hAnsi="Open Sans" w:cs="Open Sans"/>
          <w:sz w:val="22"/>
          <w:szCs w:val="22"/>
        </w:rPr>
        <w:t xml:space="preserve"> in line with local policy.</w:t>
      </w:r>
      <w:r w:rsidR="005D19C2" w:rsidRPr="000342ED">
        <w:rPr>
          <w:rStyle w:val="eop"/>
          <w:rFonts w:ascii="Open Sans" w:eastAsiaTheme="majorEastAsia" w:hAnsi="Open Sans" w:cs="Open Sans"/>
          <w:sz w:val="22"/>
          <w:szCs w:val="22"/>
        </w:rPr>
        <w:t> </w:t>
      </w:r>
    </w:p>
    <w:p w14:paraId="127C7AC8" w14:textId="056CDBEC" w:rsidR="0012037D" w:rsidRPr="000342ED" w:rsidRDefault="00576DED" w:rsidP="0021693C">
      <w:pPr>
        <w:pStyle w:val="Heading3"/>
      </w:pPr>
      <w:r>
        <w:t>5.</w:t>
      </w:r>
      <w:r w:rsidR="00C20BA1">
        <w:t xml:space="preserve">3.2 </w:t>
      </w:r>
      <w:r w:rsidR="0012037D" w:rsidRPr="000342ED">
        <w:t>At the start of the call</w:t>
      </w:r>
    </w:p>
    <w:p w14:paraId="2B678F19" w14:textId="32BB0CF2" w:rsidR="00BB31EE" w:rsidRPr="000342ED" w:rsidRDefault="00F565AD" w:rsidP="0021693C">
      <w:pPr>
        <w:pStyle w:val="paragraph"/>
        <w:numPr>
          <w:ilvl w:val="0"/>
          <w:numId w:val="25"/>
        </w:numPr>
        <w:rPr>
          <w:rStyle w:val="normaltextrun"/>
          <w:rFonts w:ascii="Open Sans" w:hAnsi="Open Sans" w:cs="Open Sans"/>
          <w:sz w:val="22"/>
          <w:szCs w:val="22"/>
        </w:rPr>
      </w:pPr>
      <w:r w:rsidRPr="000342ED">
        <w:rPr>
          <w:rStyle w:val="normaltextrun"/>
          <w:rFonts w:ascii="Open Sans" w:hAnsi="Open Sans" w:cs="Open Sans"/>
          <w:sz w:val="22"/>
          <w:szCs w:val="22"/>
        </w:rPr>
        <w:t xml:space="preserve">Ensure that the interpreter, SLT, and service user can all hear each other clearly. </w:t>
      </w:r>
    </w:p>
    <w:p w14:paraId="708F2B1D" w14:textId="27526F6D" w:rsidR="00F565AD" w:rsidRPr="000342ED" w:rsidRDefault="00F565AD" w:rsidP="0021693C">
      <w:pPr>
        <w:pStyle w:val="paragraph"/>
        <w:numPr>
          <w:ilvl w:val="0"/>
          <w:numId w:val="25"/>
        </w:numPr>
      </w:pPr>
      <w:r w:rsidRPr="000342ED">
        <w:rPr>
          <w:rStyle w:val="normaltextrun"/>
          <w:rFonts w:ascii="Open Sans" w:hAnsi="Open Sans" w:cs="Open Sans"/>
          <w:sz w:val="22"/>
          <w:szCs w:val="22"/>
        </w:rPr>
        <w:t xml:space="preserve">Confirm </w:t>
      </w:r>
      <w:r w:rsidR="00852048" w:rsidRPr="000342ED">
        <w:rPr>
          <w:rStyle w:val="normaltextrun"/>
          <w:rFonts w:ascii="Open Sans" w:hAnsi="Open Sans" w:cs="Open Sans"/>
          <w:sz w:val="22"/>
          <w:szCs w:val="22"/>
        </w:rPr>
        <w:t xml:space="preserve">that the </w:t>
      </w:r>
      <w:r w:rsidRPr="000342ED">
        <w:rPr>
          <w:rStyle w:val="normaltextrun"/>
          <w:rFonts w:ascii="Open Sans" w:hAnsi="Open Sans" w:cs="Open Sans"/>
          <w:sz w:val="22"/>
          <w:szCs w:val="22"/>
        </w:rPr>
        <w:t>audio quality</w:t>
      </w:r>
      <w:r w:rsidR="00852048" w:rsidRPr="000342ED">
        <w:rPr>
          <w:rStyle w:val="normaltextrun"/>
          <w:rFonts w:ascii="Open Sans" w:hAnsi="Open Sans" w:cs="Open Sans"/>
          <w:sz w:val="22"/>
          <w:szCs w:val="22"/>
        </w:rPr>
        <w:t xml:space="preserve"> is good</w:t>
      </w:r>
      <w:r w:rsidRPr="000342ED">
        <w:rPr>
          <w:rStyle w:val="normaltextrun"/>
          <w:rFonts w:ascii="Open Sans" w:hAnsi="Open Sans" w:cs="Open Sans"/>
          <w:sz w:val="22"/>
          <w:szCs w:val="22"/>
        </w:rPr>
        <w:t xml:space="preserve"> before beginning</w:t>
      </w:r>
      <w:r w:rsidR="00852048" w:rsidRPr="000342ED">
        <w:rPr>
          <w:rStyle w:val="normaltextrun"/>
          <w:rFonts w:ascii="Open Sans" w:hAnsi="Open Sans" w:cs="Open Sans"/>
          <w:sz w:val="22"/>
          <w:szCs w:val="22"/>
        </w:rPr>
        <w:t xml:space="preserve"> the session.</w:t>
      </w:r>
    </w:p>
    <w:p w14:paraId="1EFE2ADD" w14:textId="20896392" w:rsidR="00852048" w:rsidRPr="000342ED" w:rsidRDefault="00F565AD" w:rsidP="0021693C">
      <w:pPr>
        <w:pStyle w:val="paragraph"/>
        <w:numPr>
          <w:ilvl w:val="0"/>
          <w:numId w:val="26"/>
        </w:numPr>
        <w:rPr>
          <w:rStyle w:val="eop"/>
          <w:rFonts w:ascii="Open Sans" w:hAnsi="Open Sans" w:cs="Open Sans"/>
          <w:sz w:val="22"/>
          <w:szCs w:val="22"/>
        </w:rPr>
      </w:pPr>
      <w:r w:rsidRPr="000342ED">
        <w:rPr>
          <w:rStyle w:val="normaltextrun"/>
          <w:rFonts w:ascii="Open Sans" w:hAnsi="Open Sans" w:cs="Open Sans"/>
          <w:sz w:val="22"/>
          <w:szCs w:val="22"/>
        </w:rPr>
        <w:t xml:space="preserve">Introduce everyone </w:t>
      </w:r>
      <w:r w:rsidR="00852048" w:rsidRPr="000342ED">
        <w:rPr>
          <w:rStyle w:val="normaltextrun"/>
          <w:rFonts w:ascii="Open Sans" w:hAnsi="Open Sans" w:cs="Open Sans"/>
          <w:sz w:val="22"/>
          <w:szCs w:val="22"/>
        </w:rPr>
        <w:t xml:space="preserve">taking part in the </w:t>
      </w:r>
      <w:r w:rsidRPr="000342ED">
        <w:rPr>
          <w:rStyle w:val="normaltextrun"/>
          <w:rFonts w:ascii="Open Sans" w:hAnsi="Open Sans" w:cs="Open Sans"/>
          <w:sz w:val="22"/>
          <w:szCs w:val="22"/>
        </w:rPr>
        <w:t>call, including their names and roles.</w:t>
      </w:r>
      <w:r w:rsidRPr="000342ED">
        <w:rPr>
          <w:rStyle w:val="eop"/>
          <w:rFonts w:ascii="Open Sans" w:eastAsiaTheme="majorEastAsia" w:hAnsi="Open Sans" w:cs="Open Sans"/>
          <w:sz w:val="22"/>
          <w:szCs w:val="22"/>
        </w:rPr>
        <w:t> </w:t>
      </w:r>
    </w:p>
    <w:p w14:paraId="1E41E9D9" w14:textId="338C0066" w:rsidR="00852048" w:rsidRPr="00880294" w:rsidRDefault="005D19C2" w:rsidP="0021693C">
      <w:pPr>
        <w:pStyle w:val="paragraph"/>
        <w:numPr>
          <w:ilvl w:val="0"/>
          <w:numId w:val="26"/>
        </w:numPr>
        <w:rPr>
          <w:rStyle w:val="eop"/>
          <w:rFonts w:ascii="Open Sans" w:hAnsi="Open Sans" w:cs="Open Sans"/>
          <w:sz w:val="22"/>
          <w:szCs w:val="22"/>
        </w:rPr>
      </w:pPr>
      <w:r w:rsidRPr="000342ED">
        <w:rPr>
          <w:rStyle w:val="normaltextrun"/>
          <w:rFonts w:ascii="Open Sans" w:hAnsi="Open Sans" w:cs="Open Sans"/>
          <w:sz w:val="22"/>
          <w:szCs w:val="22"/>
        </w:rPr>
        <w:t>Explain that all spoken content will be interpreted and confirm the service user's consent to proceed on this basis.</w:t>
      </w:r>
      <w:r w:rsidRPr="000342ED">
        <w:rPr>
          <w:rStyle w:val="eop"/>
          <w:rFonts w:ascii="Open Sans" w:eastAsiaTheme="majorEastAsia" w:hAnsi="Open Sans" w:cs="Open Sans"/>
          <w:sz w:val="22"/>
          <w:szCs w:val="22"/>
        </w:rPr>
        <w:t> </w:t>
      </w:r>
    </w:p>
    <w:p w14:paraId="41648025" w14:textId="39AA74A2" w:rsidR="00852048" w:rsidRPr="000342ED" w:rsidRDefault="00576DED" w:rsidP="0021693C">
      <w:pPr>
        <w:pStyle w:val="Heading3"/>
      </w:pPr>
      <w:r>
        <w:rPr>
          <w:rStyle w:val="eop"/>
        </w:rPr>
        <w:t>5.</w:t>
      </w:r>
      <w:r w:rsidR="00C20BA1">
        <w:rPr>
          <w:rStyle w:val="eop"/>
        </w:rPr>
        <w:t>3</w:t>
      </w:r>
      <w:r w:rsidR="00C20BA1" w:rsidRPr="00C20BA1">
        <w:t xml:space="preserve">.3 </w:t>
      </w:r>
      <w:r w:rsidR="00852048" w:rsidRPr="00C20BA1">
        <w:t>During the call</w:t>
      </w:r>
    </w:p>
    <w:p w14:paraId="6EBC1520" w14:textId="77777777" w:rsidR="003445C8" w:rsidRPr="000342ED" w:rsidRDefault="003445C8" w:rsidP="0021693C">
      <w:pPr>
        <w:pStyle w:val="paragraph"/>
        <w:numPr>
          <w:ilvl w:val="0"/>
          <w:numId w:val="27"/>
        </w:numPr>
      </w:pPr>
      <w:r w:rsidRPr="000342ED">
        <w:rPr>
          <w:rStyle w:val="normaltextrun"/>
          <w:rFonts w:ascii="Open Sans" w:hAnsi="Open Sans" w:cs="Open Sans"/>
          <w:sz w:val="22"/>
          <w:szCs w:val="22"/>
        </w:rPr>
        <w:t>Take notes to capture clinical observations and any challenges experienced due to the nature of telephone interpreting.</w:t>
      </w:r>
      <w:r w:rsidRPr="000342ED">
        <w:rPr>
          <w:rStyle w:val="eop"/>
          <w:rFonts w:ascii="Open Sans" w:eastAsiaTheme="majorEastAsia" w:hAnsi="Open Sans" w:cs="Open Sans"/>
          <w:sz w:val="22"/>
          <w:szCs w:val="22"/>
        </w:rPr>
        <w:t> </w:t>
      </w:r>
    </w:p>
    <w:p w14:paraId="281F3B7C" w14:textId="77777777" w:rsidR="003445C8" w:rsidRPr="000342ED" w:rsidRDefault="003445C8" w:rsidP="0021693C">
      <w:pPr>
        <w:pStyle w:val="paragraph"/>
        <w:numPr>
          <w:ilvl w:val="0"/>
          <w:numId w:val="27"/>
        </w:numPr>
      </w:pPr>
      <w:r w:rsidRPr="000342ED">
        <w:rPr>
          <w:rStyle w:val="normaltextrun"/>
          <w:rFonts w:ascii="Open Sans" w:hAnsi="Open Sans" w:cs="Open Sans"/>
          <w:sz w:val="22"/>
          <w:szCs w:val="22"/>
        </w:rPr>
        <w:t>Maintain a structured flow to the session, as visual cues are unavailable.</w:t>
      </w:r>
      <w:r w:rsidRPr="000342ED">
        <w:rPr>
          <w:rStyle w:val="eop"/>
          <w:rFonts w:ascii="Open Sans" w:eastAsiaTheme="majorEastAsia" w:hAnsi="Open Sans" w:cs="Open Sans"/>
          <w:sz w:val="22"/>
          <w:szCs w:val="22"/>
        </w:rPr>
        <w:t> </w:t>
      </w:r>
    </w:p>
    <w:p w14:paraId="169A3E4F" w14:textId="4F3E2446" w:rsidR="00852048" w:rsidRPr="000342ED" w:rsidRDefault="00F565AD" w:rsidP="0021693C">
      <w:pPr>
        <w:pStyle w:val="paragraph"/>
        <w:numPr>
          <w:ilvl w:val="0"/>
          <w:numId w:val="27"/>
        </w:numPr>
        <w:rPr>
          <w:rStyle w:val="normaltextrun"/>
          <w:rFonts w:ascii="Open Sans" w:hAnsi="Open Sans" w:cs="Open Sans"/>
          <w:sz w:val="22"/>
          <w:szCs w:val="22"/>
        </w:rPr>
      </w:pPr>
      <w:r w:rsidRPr="000342ED">
        <w:rPr>
          <w:rStyle w:val="normaltextrun"/>
          <w:rFonts w:ascii="Open Sans" w:hAnsi="Open Sans" w:cs="Open Sans"/>
          <w:sz w:val="22"/>
          <w:szCs w:val="22"/>
        </w:rPr>
        <w:t>Speak slowly and clearly</w:t>
      </w:r>
      <w:r w:rsidR="00AB1CE1" w:rsidRPr="000342ED">
        <w:rPr>
          <w:rStyle w:val="normaltextrun"/>
          <w:rFonts w:ascii="Open Sans" w:hAnsi="Open Sans" w:cs="Open Sans"/>
          <w:sz w:val="22"/>
          <w:szCs w:val="22"/>
        </w:rPr>
        <w:t>.</w:t>
      </w:r>
      <w:r w:rsidRPr="000342ED">
        <w:rPr>
          <w:rStyle w:val="normaltextrun"/>
          <w:rFonts w:ascii="Open Sans" w:hAnsi="Open Sans" w:cs="Open Sans"/>
          <w:sz w:val="22"/>
          <w:szCs w:val="22"/>
        </w:rPr>
        <w:t xml:space="preserve"> </w:t>
      </w:r>
    </w:p>
    <w:p w14:paraId="4AB50596" w14:textId="5FC8887F" w:rsidR="00FA2E78" w:rsidRPr="000342ED" w:rsidRDefault="00AB1CE1" w:rsidP="0021693C">
      <w:pPr>
        <w:pStyle w:val="paragraph"/>
        <w:numPr>
          <w:ilvl w:val="0"/>
          <w:numId w:val="27"/>
        </w:numPr>
        <w:rPr>
          <w:rStyle w:val="normaltextrun"/>
          <w:rFonts w:ascii="Open Sans" w:hAnsi="Open Sans" w:cs="Open Sans"/>
          <w:sz w:val="22"/>
          <w:szCs w:val="22"/>
        </w:rPr>
      </w:pPr>
      <w:r w:rsidRPr="000342ED">
        <w:rPr>
          <w:rStyle w:val="normaltextrun"/>
          <w:rFonts w:ascii="Open Sans" w:hAnsi="Open Sans" w:cs="Open Sans"/>
          <w:sz w:val="22"/>
          <w:szCs w:val="22"/>
        </w:rPr>
        <w:t>U</w:t>
      </w:r>
      <w:r w:rsidR="00F565AD" w:rsidRPr="000342ED">
        <w:rPr>
          <w:rStyle w:val="normaltextrun"/>
          <w:rFonts w:ascii="Open Sans" w:hAnsi="Open Sans" w:cs="Open Sans"/>
          <w:sz w:val="22"/>
          <w:szCs w:val="22"/>
        </w:rPr>
        <w:t>s</w:t>
      </w:r>
      <w:r w:rsidRPr="000342ED">
        <w:rPr>
          <w:rStyle w:val="normaltextrun"/>
          <w:rFonts w:ascii="Open Sans" w:hAnsi="Open Sans" w:cs="Open Sans"/>
          <w:sz w:val="22"/>
          <w:szCs w:val="22"/>
        </w:rPr>
        <w:t>e</w:t>
      </w:r>
      <w:r w:rsidR="00F565AD" w:rsidRPr="000342ED">
        <w:rPr>
          <w:rStyle w:val="normaltextrun"/>
          <w:rFonts w:ascii="Open Sans" w:hAnsi="Open Sans" w:cs="Open Sans"/>
          <w:sz w:val="22"/>
          <w:szCs w:val="22"/>
        </w:rPr>
        <w:t xml:space="preserve"> short, simple sentences. </w:t>
      </w:r>
    </w:p>
    <w:p w14:paraId="26B8C70B" w14:textId="77777777" w:rsidR="000B002E" w:rsidRDefault="00F565AD" w:rsidP="000B002E">
      <w:pPr>
        <w:pStyle w:val="paragraph"/>
        <w:numPr>
          <w:ilvl w:val="0"/>
          <w:numId w:val="27"/>
        </w:numPr>
      </w:pPr>
      <w:r w:rsidRPr="000342ED">
        <w:rPr>
          <w:rStyle w:val="normaltextrun"/>
          <w:rFonts w:ascii="Open Sans" w:hAnsi="Open Sans" w:cs="Open Sans"/>
          <w:sz w:val="22"/>
          <w:szCs w:val="22"/>
        </w:rPr>
        <w:t>Pause frequently to allow interpretation.</w:t>
      </w:r>
      <w:r w:rsidRPr="000342ED">
        <w:rPr>
          <w:rStyle w:val="eop"/>
          <w:rFonts w:ascii="Open Sans" w:eastAsiaTheme="majorEastAsia" w:hAnsi="Open Sans" w:cs="Open Sans"/>
          <w:sz w:val="22"/>
          <w:szCs w:val="22"/>
        </w:rPr>
        <w:t> </w:t>
      </w:r>
    </w:p>
    <w:p w14:paraId="2D3E1DDB" w14:textId="77777777" w:rsidR="000B002E" w:rsidRDefault="00F565AD" w:rsidP="000B002E">
      <w:pPr>
        <w:pStyle w:val="paragraph"/>
        <w:numPr>
          <w:ilvl w:val="0"/>
          <w:numId w:val="27"/>
        </w:numPr>
      </w:pPr>
      <w:r w:rsidRPr="000B002E">
        <w:rPr>
          <w:rStyle w:val="normaltextrun"/>
          <w:rFonts w:ascii="Open Sans" w:hAnsi="Open Sans" w:cs="Open Sans"/>
          <w:sz w:val="22"/>
          <w:szCs w:val="22"/>
        </w:rPr>
        <w:t xml:space="preserve">Avoid </w:t>
      </w:r>
      <w:r w:rsidR="00FA2E78" w:rsidRPr="000B002E">
        <w:rPr>
          <w:rStyle w:val="normaltextrun"/>
          <w:rFonts w:ascii="Open Sans" w:hAnsi="Open Sans" w:cs="Open Sans"/>
          <w:sz w:val="22"/>
          <w:szCs w:val="22"/>
        </w:rPr>
        <w:t xml:space="preserve">using </w:t>
      </w:r>
      <w:r w:rsidRPr="000B002E">
        <w:rPr>
          <w:rStyle w:val="normaltextrun"/>
          <w:rFonts w:ascii="Open Sans" w:hAnsi="Open Sans" w:cs="Open Sans"/>
          <w:sz w:val="22"/>
          <w:szCs w:val="22"/>
        </w:rPr>
        <w:t xml:space="preserve">jargon, idioms, and culturally specific references that may not </w:t>
      </w:r>
      <w:r w:rsidR="00FA2E78" w:rsidRPr="000B002E">
        <w:rPr>
          <w:rStyle w:val="normaltextrun"/>
          <w:rFonts w:ascii="Open Sans" w:hAnsi="Open Sans" w:cs="Open Sans"/>
          <w:sz w:val="22"/>
          <w:szCs w:val="22"/>
        </w:rPr>
        <w:t xml:space="preserve">directly </w:t>
      </w:r>
      <w:r w:rsidRPr="000B002E">
        <w:rPr>
          <w:rStyle w:val="normaltextrun"/>
          <w:rFonts w:ascii="Open Sans" w:hAnsi="Open Sans" w:cs="Open Sans"/>
          <w:sz w:val="22"/>
          <w:szCs w:val="22"/>
        </w:rPr>
        <w:t>translate.</w:t>
      </w:r>
      <w:r w:rsidRPr="000B002E">
        <w:rPr>
          <w:rStyle w:val="eop"/>
          <w:rFonts w:ascii="Open Sans" w:eastAsiaTheme="majorEastAsia" w:hAnsi="Open Sans" w:cs="Open Sans"/>
          <w:sz w:val="22"/>
          <w:szCs w:val="22"/>
        </w:rPr>
        <w:t> </w:t>
      </w:r>
    </w:p>
    <w:p w14:paraId="7A05FD84" w14:textId="02D7D61F" w:rsidR="00F565AD" w:rsidRPr="000342ED" w:rsidRDefault="00742F3A" w:rsidP="000B002E">
      <w:pPr>
        <w:pStyle w:val="paragraph"/>
        <w:numPr>
          <w:ilvl w:val="0"/>
          <w:numId w:val="27"/>
        </w:numPr>
      </w:pPr>
      <w:r w:rsidRPr="000B002E">
        <w:rPr>
          <w:rStyle w:val="normaltextrun"/>
          <w:rFonts w:ascii="Open Sans" w:hAnsi="Open Sans" w:cs="Open Sans"/>
          <w:sz w:val="22"/>
          <w:szCs w:val="22"/>
        </w:rPr>
        <w:t xml:space="preserve"> </w:t>
      </w:r>
      <w:r w:rsidR="00F565AD" w:rsidRPr="000B002E">
        <w:rPr>
          <w:rStyle w:val="normaltextrun"/>
          <w:rFonts w:ascii="Open Sans" w:hAnsi="Open Sans" w:cs="Open Sans"/>
          <w:sz w:val="22"/>
          <w:szCs w:val="22"/>
        </w:rPr>
        <w:t>Address the service user directly, not the interpreter (e.g., say “Can you tell me about...” instead of “Can you ask them...”).</w:t>
      </w:r>
      <w:r w:rsidR="00F565AD" w:rsidRPr="000B002E">
        <w:rPr>
          <w:rStyle w:val="eop"/>
          <w:rFonts w:ascii="Open Sans" w:eastAsiaTheme="majorEastAsia" w:hAnsi="Open Sans" w:cs="Open Sans"/>
          <w:sz w:val="22"/>
          <w:szCs w:val="22"/>
        </w:rPr>
        <w:t> </w:t>
      </w:r>
    </w:p>
    <w:p w14:paraId="52DB9AC0" w14:textId="77777777" w:rsidR="00F565AD" w:rsidRPr="000342ED" w:rsidRDefault="00F565AD" w:rsidP="0021693C">
      <w:pPr>
        <w:pStyle w:val="paragraph"/>
        <w:numPr>
          <w:ilvl w:val="0"/>
          <w:numId w:val="30"/>
        </w:numPr>
      </w:pPr>
      <w:r w:rsidRPr="000342ED">
        <w:rPr>
          <w:rStyle w:val="normaltextrun"/>
          <w:rFonts w:ascii="Open Sans" w:hAnsi="Open Sans" w:cs="Open Sans"/>
          <w:sz w:val="22"/>
          <w:szCs w:val="22"/>
        </w:rPr>
        <w:lastRenderedPageBreak/>
        <w:t>Check the service user’s understanding regularly and provide opportunities for clarification.</w:t>
      </w:r>
      <w:r w:rsidRPr="000342ED">
        <w:rPr>
          <w:rStyle w:val="eop"/>
          <w:rFonts w:ascii="Open Sans" w:eastAsiaTheme="majorEastAsia" w:hAnsi="Open Sans" w:cs="Open Sans"/>
          <w:sz w:val="22"/>
          <w:szCs w:val="22"/>
        </w:rPr>
        <w:t> </w:t>
      </w:r>
    </w:p>
    <w:p w14:paraId="0433652B" w14:textId="5BDF902A" w:rsidR="005839CE" w:rsidRPr="000342ED" w:rsidRDefault="0020757F" w:rsidP="0021693C">
      <w:pPr>
        <w:pStyle w:val="Heading2"/>
      </w:pPr>
      <w:r>
        <w:t>5</w:t>
      </w:r>
      <w:r w:rsidR="005839CE" w:rsidRPr="000342ED">
        <w:t>.</w:t>
      </w:r>
      <w:r>
        <w:t>4</w:t>
      </w:r>
      <w:r w:rsidR="005839CE" w:rsidRPr="000342ED">
        <w:t xml:space="preserve"> </w:t>
      </w:r>
      <w:proofErr w:type="gramStart"/>
      <w:r w:rsidR="005839CE" w:rsidRPr="000342ED">
        <w:t>Post-</w:t>
      </w:r>
      <w:r w:rsidR="004328A9" w:rsidRPr="000342ED">
        <w:t>s</w:t>
      </w:r>
      <w:r w:rsidR="005839CE" w:rsidRPr="000342ED">
        <w:t>ession</w:t>
      </w:r>
      <w:proofErr w:type="gramEnd"/>
      <w:r w:rsidR="005839CE" w:rsidRPr="000342ED">
        <w:t xml:space="preserve"> </w:t>
      </w:r>
      <w:r w:rsidR="004328A9" w:rsidRPr="000342ED">
        <w:t>d</w:t>
      </w:r>
      <w:r w:rsidR="005839CE" w:rsidRPr="000342ED">
        <w:t>ebrief</w:t>
      </w:r>
    </w:p>
    <w:p w14:paraId="42BCD606" w14:textId="1877D504" w:rsidR="005839CE" w:rsidRPr="000342ED" w:rsidRDefault="005839CE" w:rsidP="0021693C">
      <w:pPr>
        <w:pStyle w:val="ListParagraph"/>
        <w:numPr>
          <w:ilvl w:val="0"/>
          <w:numId w:val="19"/>
        </w:numPr>
      </w:pPr>
      <w:r w:rsidRPr="000342ED">
        <w:t xml:space="preserve">Discuss </w:t>
      </w:r>
      <w:r w:rsidR="0031495C" w:rsidRPr="000342ED">
        <w:t xml:space="preserve">the session </w:t>
      </w:r>
      <w:r w:rsidR="00205829" w:rsidRPr="000342ED">
        <w:t xml:space="preserve">with the interpreter </w:t>
      </w:r>
      <w:r w:rsidR="0031495C" w:rsidRPr="000342ED">
        <w:t xml:space="preserve">to share, reflect and identify strengths and challenges </w:t>
      </w:r>
      <w:r w:rsidRPr="000342ED">
        <w:t>encountered during the session.</w:t>
      </w:r>
      <w:r w:rsidR="00205829" w:rsidRPr="000342ED">
        <w:t xml:space="preserve"> </w:t>
      </w:r>
    </w:p>
    <w:p w14:paraId="616B6EE2" w14:textId="77777777" w:rsidR="005839CE" w:rsidRPr="000342ED" w:rsidRDefault="005839CE" w:rsidP="0021693C">
      <w:pPr>
        <w:pStyle w:val="ListParagraph"/>
        <w:numPr>
          <w:ilvl w:val="0"/>
          <w:numId w:val="19"/>
        </w:numPr>
      </w:pPr>
      <w:r w:rsidRPr="000342ED">
        <w:t>Clarify any aspects of the translation that may have influenced clinical observations.</w:t>
      </w:r>
    </w:p>
    <w:p w14:paraId="7189B19C" w14:textId="4478F2A3" w:rsidR="005839CE" w:rsidRPr="000342ED" w:rsidRDefault="005839CE" w:rsidP="0021693C">
      <w:pPr>
        <w:pStyle w:val="ListParagraph"/>
        <w:numPr>
          <w:ilvl w:val="0"/>
          <w:numId w:val="19"/>
        </w:numPr>
      </w:pPr>
      <w:r w:rsidRPr="000342ED">
        <w:t>Ensure interpreters are supported, particularly when dealing with sensitive cases.</w:t>
      </w:r>
    </w:p>
    <w:p w14:paraId="6F013FF6" w14:textId="3D6C980E" w:rsidR="00F565AD" w:rsidRPr="000342ED" w:rsidRDefault="00581135" w:rsidP="00581135">
      <w:pPr>
        <w:pStyle w:val="Heading2"/>
        <w:numPr>
          <w:ilvl w:val="1"/>
          <w:numId w:val="40"/>
        </w:numPr>
      </w:pPr>
      <w:r>
        <w:t xml:space="preserve"> </w:t>
      </w:r>
      <w:r w:rsidR="00F565AD" w:rsidRPr="000342ED">
        <w:t>Post</w:t>
      </w:r>
      <w:r w:rsidR="005E7725">
        <w:t>-s</w:t>
      </w:r>
      <w:r w:rsidR="00F565AD" w:rsidRPr="000342ED">
        <w:t xml:space="preserve">ession </w:t>
      </w:r>
      <w:r w:rsidR="005E7725">
        <w:t>d</w:t>
      </w:r>
      <w:r w:rsidR="00F565AD" w:rsidRPr="000342ED">
        <w:t>ocumentation</w:t>
      </w:r>
    </w:p>
    <w:p w14:paraId="7C6852FA" w14:textId="77777777" w:rsidR="00F565AD" w:rsidRPr="000342ED" w:rsidRDefault="00F565AD" w:rsidP="00581135">
      <w:r w:rsidRPr="000342ED">
        <w:t>Document that an interpreter was involved in the session, including:</w:t>
      </w:r>
    </w:p>
    <w:p w14:paraId="49444854" w14:textId="00EFE07B" w:rsidR="00F565AD" w:rsidRPr="000342ED" w:rsidRDefault="000301AB" w:rsidP="0021693C">
      <w:pPr>
        <w:pStyle w:val="ListParagraph"/>
        <w:numPr>
          <w:ilvl w:val="1"/>
          <w:numId w:val="35"/>
        </w:numPr>
      </w:pPr>
      <w:r w:rsidRPr="000342ED">
        <w:t>the i</w:t>
      </w:r>
      <w:r w:rsidR="00F565AD" w:rsidRPr="000342ED">
        <w:t>nterpreter’s full name</w:t>
      </w:r>
    </w:p>
    <w:p w14:paraId="5B97985A" w14:textId="0D838948" w:rsidR="00F565AD" w:rsidRPr="000342ED" w:rsidRDefault="00095C07" w:rsidP="0021693C">
      <w:pPr>
        <w:pStyle w:val="ListParagraph"/>
        <w:numPr>
          <w:ilvl w:val="1"/>
          <w:numId w:val="35"/>
        </w:numPr>
      </w:pPr>
      <w:r w:rsidRPr="000342ED">
        <w:t xml:space="preserve">the </w:t>
      </w:r>
      <w:r w:rsidR="000301AB" w:rsidRPr="000342ED">
        <w:t>l</w:t>
      </w:r>
      <w:r w:rsidR="00F565AD" w:rsidRPr="000342ED">
        <w:t>anguage and dialect interpreted</w:t>
      </w:r>
    </w:p>
    <w:p w14:paraId="61BCACBB" w14:textId="440A0611" w:rsidR="00F565AD" w:rsidRPr="000342ED" w:rsidRDefault="00095C07" w:rsidP="0021693C">
      <w:pPr>
        <w:pStyle w:val="ListParagraph"/>
        <w:numPr>
          <w:ilvl w:val="1"/>
          <w:numId w:val="35"/>
        </w:numPr>
      </w:pPr>
      <w:r w:rsidRPr="000342ED">
        <w:t xml:space="preserve">the </w:t>
      </w:r>
      <w:r w:rsidR="000301AB" w:rsidRPr="000342ED">
        <w:t>t</w:t>
      </w:r>
      <w:r w:rsidR="00F565AD" w:rsidRPr="000342ED">
        <w:t>ype of interpreting used (e.g. in-person, virtual, telephone)</w:t>
      </w:r>
    </w:p>
    <w:p w14:paraId="1E3B5B53" w14:textId="77777777" w:rsidR="00F565AD" w:rsidRPr="000342ED" w:rsidRDefault="00F565AD" w:rsidP="0021693C">
      <w:pPr>
        <w:pStyle w:val="ListParagraph"/>
        <w:numPr>
          <w:ilvl w:val="0"/>
          <w:numId w:val="35"/>
        </w:numPr>
      </w:pPr>
      <w:r w:rsidRPr="000342ED">
        <w:t>Summarise the session content, noting key clinical observations and outcomes.</w:t>
      </w:r>
    </w:p>
    <w:p w14:paraId="662B4D60" w14:textId="77777777" w:rsidR="00F565AD" w:rsidRPr="000342ED" w:rsidRDefault="00F565AD" w:rsidP="0021693C">
      <w:pPr>
        <w:pStyle w:val="ListParagraph"/>
        <w:numPr>
          <w:ilvl w:val="0"/>
          <w:numId w:val="35"/>
        </w:numPr>
      </w:pPr>
      <w:r w:rsidRPr="000342ED">
        <w:t>Record any communication barriers or challenges encountered (e.g. delays, misunderstandings, technical issues).</w:t>
      </w:r>
    </w:p>
    <w:p w14:paraId="26444DFE" w14:textId="77777777" w:rsidR="00F565AD" w:rsidRPr="000342ED" w:rsidRDefault="00F565AD" w:rsidP="0021693C">
      <w:pPr>
        <w:pStyle w:val="ListParagraph"/>
        <w:numPr>
          <w:ilvl w:val="0"/>
          <w:numId w:val="35"/>
        </w:numPr>
      </w:pPr>
      <w:r w:rsidRPr="000342ED">
        <w:t>Include any relevant cultural insights that influenced the interaction or clinical decision-making.</w:t>
      </w:r>
    </w:p>
    <w:p w14:paraId="2570D541" w14:textId="77777777" w:rsidR="00F565AD" w:rsidRPr="000342ED" w:rsidRDefault="00F565AD" w:rsidP="0021693C">
      <w:pPr>
        <w:pStyle w:val="ListParagraph"/>
        <w:numPr>
          <w:ilvl w:val="0"/>
          <w:numId w:val="35"/>
        </w:numPr>
      </w:pPr>
      <w:r w:rsidRPr="000342ED">
        <w:t>Highlight any safeguarding concerns raised and how they were managed in collaboration with the interpreter.</w:t>
      </w:r>
    </w:p>
    <w:p w14:paraId="74B1D921" w14:textId="77777777" w:rsidR="00F565AD" w:rsidRPr="000342ED" w:rsidRDefault="00F565AD" w:rsidP="0021693C">
      <w:pPr>
        <w:pStyle w:val="ListParagraph"/>
        <w:numPr>
          <w:ilvl w:val="0"/>
          <w:numId w:val="35"/>
        </w:numPr>
      </w:pPr>
      <w:r w:rsidRPr="000342ED">
        <w:t>Note if any adaptations were required due to linguistic or cultural factors.</w:t>
      </w:r>
    </w:p>
    <w:p w14:paraId="65E3C1DE" w14:textId="77777777" w:rsidR="00F565AD" w:rsidRPr="000342ED" w:rsidRDefault="00F565AD" w:rsidP="0021693C">
      <w:pPr>
        <w:pStyle w:val="ListParagraph"/>
        <w:numPr>
          <w:ilvl w:val="0"/>
          <w:numId w:val="35"/>
        </w:numPr>
      </w:pPr>
      <w:r w:rsidRPr="000342ED">
        <w:t>Identify follow-up actions, such as arranging further interpreted sessions or seeking cultural consultation.</w:t>
      </w:r>
    </w:p>
    <w:p w14:paraId="6D915DA7" w14:textId="77777777" w:rsidR="00F565AD" w:rsidRPr="000342ED" w:rsidRDefault="00F565AD" w:rsidP="0021693C">
      <w:pPr>
        <w:pStyle w:val="ListParagraph"/>
        <w:numPr>
          <w:ilvl w:val="0"/>
          <w:numId w:val="35"/>
        </w:numPr>
      </w:pPr>
      <w:r w:rsidRPr="000342ED">
        <w:t>Reflect on interpreter impact on the session for your own clinical reasoning and professional development.</w:t>
      </w:r>
    </w:p>
    <w:p w14:paraId="38AB9DFF" w14:textId="595976C1" w:rsidR="00F565AD" w:rsidRPr="00BA0051" w:rsidRDefault="00F565AD" w:rsidP="0021693C">
      <w:pPr>
        <w:pStyle w:val="ListParagraph"/>
        <w:numPr>
          <w:ilvl w:val="0"/>
          <w:numId w:val="35"/>
        </w:numPr>
      </w:pPr>
      <w:r w:rsidRPr="000342ED">
        <w:t>Add an entry to your Continuing Professional Development (CPD) log if appropriate.</w:t>
      </w:r>
    </w:p>
    <w:p w14:paraId="4A6FA1E3" w14:textId="1A97B288" w:rsidR="005839CE" w:rsidRPr="000342ED" w:rsidRDefault="005839CE" w:rsidP="0021693C">
      <w:r w:rsidRPr="000342ED">
        <w:t xml:space="preserve">For structured guidance, refer to the </w:t>
      </w:r>
      <w:hyperlink r:id="rId14" w:history="1">
        <w:r w:rsidRPr="000342ED">
          <w:rPr>
            <w:color w:val="0000FF"/>
            <w:u w:val="single"/>
          </w:rPr>
          <w:t xml:space="preserve">Working with </w:t>
        </w:r>
        <w:r w:rsidR="001B158F" w:rsidRPr="000342ED">
          <w:rPr>
            <w:color w:val="0000FF"/>
            <w:u w:val="single"/>
          </w:rPr>
          <w:t>i</w:t>
        </w:r>
        <w:r w:rsidRPr="000342ED">
          <w:rPr>
            <w:color w:val="0000FF"/>
            <w:u w:val="single"/>
          </w:rPr>
          <w:t xml:space="preserve">nterpreters </w:t>
        </w:r>
        <w:r w:rsidR="001B158F" w:rsidRPr="000342ED">
          <w:rPr>
            <w:color w:val="0000FF"/>
            <w:u w:val="single"/>
          </w:rPr>
          <w:t>c</w:t>
        </w:r>
        <w:r w:rsidRPr="000342ED">
          <w:rPr>
            <w:color w:val="0000FF"/>
            <w:u w:val="single"/>
          </w:rPr>
          <w:t>hecklist</w:t>
        </w:r>
      </w:hyperlink>
      <w:r w:rsidRPr="000342ED">
        <w:t>, which outlines key steps for effective collaboration with interpreters.</w:t>
      </w:r>
    </w:p>
    <w:p w14:paraId="15CBB0E4" w14:textId="77777777" w:rsidR="00CB7F2F" w:rsidRDefault="005839CE" w:rsidP="0021693C">
      <w:r w:rsidRPr="000342ED">
        <w:t xml:space="preserve">Where the session is taking place via video link, the SLT must take this into consideration and take responsibility for any additional support and training </w:t>
      </w:r>
      <w:r w:rsidR="00650E8D">
        <w:t>required</w:t>
      </w:r>
      <w:r w:rsidRPr="000342ED">
        <w:t xml:space="preserve"> to support the interpreter in their role</w:t>
      </w:r>
      <w:r w:rsidR="18599F7E" w:rsidRPr="000342ED">
        <w:t xml:space="preserve"> prior to the session.</w:t>
      </w:r>
    </w:p>
    <w:p w14:paraId="3866EA6D" w14:textId="59F6DF9F" w:rsidR="005839CE" w:rsidRPr="00CB7F2F" w:rsidRDefault="00CB7F2F" w:rsidP="009707EA">
      <w:pPr>
        <w:pStyle w:val="Heading1"/>
      </w:pPr>
      <w:r>
        <w:lastRenderedPageBreak/>
        <w:t xml:space="preserve">6. </w:t>
      </w:r>
      <w:r w:rsidR="005839CE" w:rsidRPr="000342ED">
        <w:t xml:space="preserve">Special </w:t>
      </w:r>
      <w:r w:rsidR="00827AEE" w:rsidRPr="000342ED">
        <w:t>c</w:t>
      </w:r>
      <w:r w:rsidR="005839CE" w:rsidRPr="000342ED">
        <w:t>onsiderations</w:t>
      </w:r>
    </w:p>
    <w:p w14:paraId="5F3C17BC" w14:textId="27A35C2E" w:rsidR="005839CE" w:rsidRPr="000342ED" w:rsidRDefault="00CB7F2F" w:rsidP="0021693C">
      <w:pPr>
        <w:pStyle w:val="Heading2"/>
      </w:pPr>
      <w:r>
        <w:t xml:space="preserve">6.1 </w:t>
      </w:r>
      <w:r w:rsidR="005839CE" w:rsidRPr="000342ED">
        <w:t xml:space="preserve">Assessments and </w:t>
      </w:r>
      <w:r w:rsidR="00827AEE" w:rsidRPr="000342ED">
        <w:t>i</w:t>
      </w:r>
      <w:r w:rsidR="005839CE" w:rsidRPr="000342ED">
        <w:t>nterpreters</w:t>
      </w:r>
    </w:p>
    <w:p w14:paraId="1F6773B8" w14:textId="77777777" w:rsidR="005839CE" w:rsidRPr="000342ED" w:rsidRDefault="005839CE" w:rsidP="0021693C">
      <w:pPr>
        <w:pStyle w:val="ListParagraph"/>
        <w:numPr>
          <w:ilvl w:val="0"/>
          <w:numId w:val="20"/>
        </w:numPr>
      </w:pPr>
      <w:r w:rsidRPr="000342ED">
        <w:t>Standardised assessments should not be directly translated, as linguistic structures vary across languages.</w:t>
      </w:r>
    </w:p>
    <w:p w14:paraId="5ECF2D50" w14:textId="77777777" w:rsidR="005839CE" w:rsidRPr="000342ED" w:rsidRDefault="005839CE" w:rsidP="0021693C">
      <w:pPr>
        <w:pStyle w:val="ListParagraph"/>
        <w:numPr>
          <w:ilvl w:val="0"/>
          <w:numId w:val="20"/>
        </w:numPr>
      </w:pPr>
      <w:r w:rsidRPr="000342ED">
        <w:t>Adapt phonological assessments appropriately rather than relying on interpretation.</w:t>
      </w:r>
    </w:p>
    <w:p w14:paraId="4D0A3D3D" w14:textId="77777777" w:rsidR="005839CE" w:rsidRPr="000342ED" w:rsidRDefault="005839CE" w:rsidP="0021693C">
      <w:pPr>
        <w:pStyle w:val="ListParagraph"/>
        <w:numPr>
          <w:ilvl w:val="0"/>
          <w:numId w:val="20"/>
        </w:numPr>
      </w:pPr>
      <w:r w:rsidRPr="000342ED">
        <w:t>Use dynamic assessment and language sampling where necessary.</w:t>
      </w:r>
    </w:p>
    <w:p w14:paraId="10126B21" w14:textId="77777777" w:rsidR="00CB7F2F" w:rsidRDefault="675B9FC2" w:rsidP="0021693C">
      <w:pPr>
        <w:pStyle w:val="ListParagraph"/>
        <w:numPr>
          <w:ilvl w:val="0"/>
          <w:numId w:val="20"/>
        </w:numPr>
      </w:pPr>
      <w:r w:rsidRPr="000342ED">
        <w:t xml:space="preserve">Care should be taken when interpreting information gathered particularly in relation to syntax and linguistic structures due to </w:t>
      </w:r>
      <w:r w:rsidR="52E94144" w:rsidRPr="000342ED">
        <w:t>po</w:t>
      </w:r>
      <w:r w:rsidRPr="000342ED">
        <w:t>tential differences</w:t>
      </w:r>
      <w:r w:rsidR="2F5595F3" w:rsidRPr="000342ED">
        <w:t xml:space="preserve"> of grammar and word structure in the service user</w:t>
      </w:r>
      <w:r w:rsidR="753E99A8" w:rsidRPr="000342ED">
        <w:t>’</w:t>
      </w:r>
      <w:r w:rsidR="2F5595F3" w:rsidRPr="000342ED">
        <w:t>s chosen language.</w:t>
      </w:r>
    </w:p>
    <w:p w14:paraId="485DBF33" w14:textId="77777777" w:rsidR="00E27D3F" w:rsidRDefault="00E27D3F" w:rsidP="00E27D3F">
      <w:pPr>
        <w:pStyle w:val="ListParagraph"/>
      </w:pPr>
    </w:p>
    <w:p w14:paraId="0AC494B8" w14:textId="65B12C48" w:rsidR="005839CE" w:rsidRPr="00CB7F2F" w:rsidRDefault="00CB7F2F" w:rsidP="009707EA">
      <w:pPr>
        <w:pStyle w:val="Heading1"/>
      </w:pPr>
      <w:r>
        <w:t xml:space="preserve">7. </w:t>
      </w:r>
      <w:r w:rsidR="005839CE" w:rsidRPr="000342ED">
        <w:t xml:space="preserve">Providing </w:t>
      </w:r>
      <w:r w:rsidR="0065657F" w:rsidRPr="000342ED">
        <w:t>w</w:t>
      </w:r>
      <w:r w:rsidR="005839CE" w:rsidRPr="000342ED">
        <w:t xml:space="preserve">ritten </w:t>
      </w:r>
      <w:r w:rsidR="0065657F" w:rsidRPr="000342ED">
        <w:t>t</w:t>
      </w:r>
      <w:r w:rsidR="005839CE" w:rsidRPr="000342ED">
        <w:t>ranslations</w:t>
      </w:r>
    </w:p>
    <w:p w14:paraId="328A0D2B" w14:textId="33D28B43" w:rsidR="00244D2C" w:rsidRPr="000342ED" w:rsidRDefault="00244D2C" w:rsidP="0021693C">
      <w:pPr>
        <w:pStyle w:val="ListParagraph"/>
        <w:numPr>
          <w:ilvl w:val="0"/>
          <w:numId w:val="22"/>
        </w:numPr>
      </w:pPr>
      <w:r w:rsidRPr="000342ED">
        <w:t xml:space="preserve">Consider whether the </w:t>
      </w:r>
      <w:r w:rsidR="0058247E" w:rsidRPr="000342ED">
        <w:t xml:space="preserve">service user </w:t>
      </w:r>
      <w:r w:rsidRPr="000342ED">
        <w:t>is literate in their home language before providing written translations.</w:t>
      </w:r>
    </w:p>
    <w:p w14:paraId="7527F88B" w14:textId="77777777" w:rsidR="00244D2C" w:rsidRPr="000342ED" w:rsidRDefault="00244D2C" w:rsidP="0021693C">
      <w:pPr>
        <w:pStyle w:val="ListParagraph"/>
        <w:numPr>
          <w:ilvl w:val="0"/>
          <w:numId w:val="22"/>
        </w:numPr>
      </w:pPr>
      <w:r w:rsidRPr="000342ED">
        <w:t>Where written translation is not effective, offer verbal explanations or multimedia resources.</w:t>
      </w:r>
    </w:p>
    <w:p w14:paraId="1976E91B" w14:textId="61F47A55" w:rsidR="00244D2C" w:rsidRPr="000342ED" w:rsidRDefault="00244D2C" w:rsidP="0021693C">
      <w:pPr>
        <w:pStyle w:val="ListParagraph"/>
        <w:numPr>
          <w:ilvl w:val="0"/>
          <w:numId w:val="22"/>
        </w:numPr>
      </w:pPr>
      <w:r w:rsidRPr="000342ED">
        <w:t>It is important to understand the distinction between</w:t>
      </w:r>
      <w:r w:rsidRPr="000342ED">
        <w:rPr>
          <w:b/>
        </w:rPr>
        <w:t xml:space="preserve"> </w:t>
      </w:r>
      <w:r w:rsidRPr="000342ED">
        <w:rPr>
          <w:rStyle w:val="Strong"/>
          <w:b w:val="0"/>
        </w:rPr>
        <w:t>interpreters</w:t>
      </w:r>
      <w:r w:rsidRPr="000342ED">
        <w:rPr>
          <w:b/>
        </w:rPr>
        <w:t xml:space="preserve"> </w:t>
      </w:r>
      <w:r w:rsidRPr="000342ED">
        <w:t>and</w:t>
      </w:r>
      <w:r w:rsidRPr="000342ED">
        <w:rPr>
          <w:rStyle w:val="Strong"/>
        </w:rPr>
        <w:t xml:space="preserve"> </w:t>
      </w:r>
      <w:r w:rsidRPr="000342ED">
        <w:rPr>
          <w:rStyle w:val="Strong"/>
          <w:b w:val="0"/>
        </w:rPr>
        <w:t>translators</w:t>
      </w:r>
      <w:r w:rsidRPr="000342ED">
        <w:rPr>
          <w:b/>
        </w:rPr>
        <w:t>.</w:t>
      </w:r>
      <w:r w:rsidRPr="000342ED">
        <w:t xml:space="preserve"> Interpreters work with spoken language, facilitating real-time communication between SLTs and </w:t>
      </w:r>
      <w:r w:rsidR="0058247E" w:rsidRPr="000342ED">
        <w:t>service users</w:t>
      </w:r>
      <w:r w:rsidRPr="000342ED">
        <w:t>. Translators</w:t>
      </w:r>
      <w:r w:rsidR="0106EF71" w:rsidRPr="000342ED">
        <w:t xml:space="preserve"> </w:t>
      </w:r>
      <w:r w:rsidRPr="000342ED">
        <w:t>work with written language, converting documents from one language to another. SLTs should ensure they are using the appropriate professional service depending on whether written or spoken language support is required.</w:t>
      </w:r>
    </w:p>
    <w:p w14:paraId="0A694ED3" w14:textId="005BC535" w:rsidR="00F565AD" w:rsidRDefault="00244D2C" w:rsidP="0021693C">
      <w:pPr>
        <w:pStyle w:val="ListParagraph"/>
        <w:numPr>
          <w:ilvl w:val="0"/>
          <w:numId w:val="22"/>
        </w:numPr>
      </w:pPr>
      <w:r w:rsidRPr="000342ED">
        <w:t>When providing written translations, ensure that materials are accessible, culturally appropriate, and accurately convey clinical information.</w:t>
      </w:r>
    </w:p>
    <w:p w14:paraId="080E13FA" w14:textId="77777777" w:rsidR="00E27D3F" w:rsidRPr="00CB7F2F" w:rsidRDefault="00E27D3F" w:rsidP="00E27D3F"/>
    <w:p w14:paraId="45A51B57" w14:textId="02EC5C5E" w:rsidR="00C4159E" w:rsidRPr="000342ED" w:rsidRDefault="00DB0C99" w:rsidP="00DB0C99">
      <w:pPr>
        <w:pStyle w:val="Heading1"/>
        <w:rPr>
          <w:color w:val="1F3864" w:themeColor="accent1" w:themeShade="80"/>
        </w:rPr>
      </w:pPr>
      <w:r>
        <w:t xml:space="preserve">8. </w:t>
      </w:r>
      <w:r w:rsidR="00C4159E" w:rsidRPr="000342ED">
        <w:t xml:space="preserve">Accessing </w:t>
      </w:r>
      <w:r w:rsidR="00CB7F2F">
        <w:t>i</w:t>
      </w:r>
      <w:r w:rsidR="00C4159E" w:rsidRPr="000342ED">
        <w:t>nterpreter services in your setting</w:t>
      </w:r>
    </w:p>
    <w:p w14:paraId="35FCC9EE" w14:textId="77777777" w:rsidR="00C4159E" w:rsidRPr="000342ED" w:rsidRDefault="00C4159E" w:rsidP="0021693C">
      <w:r w:rsidRPr="000342ED">
        <w:t>Accessing interpreters varies depending on the setting. In the NHS, interpreter services are typically commissioned centrally and accessed via internal booking systems, often including face-to-face, telephone, and video options. SLTs should familiarise themselves with local protocols for booking and funding interpreters and ensure adequate time is planned for sessions requiring interpretation. In school-based services, access may be more limited and depend on the local authority's arrangements or the school's budget. It is important for SLTs in educational settings to advocate for interpreter support as part of inclusive practice and to align with statutory duties under the Equality Act 2010.</w:t>
      </w:r>
    </w:p>
    <w:p w14:paraId="4E98BECD" w14:textId="20195225" w:rsidR="00C4159E" w:rsidRDefault="00C4159E" w:rsidP="0021693C">
      <w:r w:rsidRPr="000342ED">
        <w:lastRenderedPageBreak/>
        <w:t xml:space="preserve">In independent practice, access to interpreters is usually the responsibility of the practitioner or commissioning party, which may present funding challenges. Where no interpreting service is available, SLTs should consider writing a business case to demonstrate the clinical and legal necessity of interpreter use. This should highlight the risks of not providing equitable access, such as misdiagnosis or safeguarding concerns, and frame interpreter use as a means of improving outcomes and reducing long-term costs. Independent practitioners may also wish to explore partnership working or pooled funding with schools, local authorities, or health providers to facilitate access to interpreter services. </w:t>
      </w:r>
      <w:hyperlink r:id="rId15" w:history="1">
        <w:r w:rsidRPr="000342ED">
          <w:rPr>
            <w:rStyle w:val="Hyperlink"/>
          </w:rPr>
          <w:t>ASLTIP</w:t>
        </w:r>
      </w:hyperlink>
      <w:r w:rsidRPr="000342ED">
        <w:t xml:space="preserve"> can provide Independent SLT’s with formulating a business case.</w:t>
      </w:r>
    </w:p>
    <w:p w14:paraId="5DFAF0A7" w14:textId="77777777" w:rsidR="00FA06E4" w:rsidRPr="000342ED" w:rsidRDefault="00FA06E4" w:rsidP="0021693C"/>
    <w:p w14:paraId="09EC1343" w14:textId="1EB33CC7" w:rsidR="005839CE" w:rsidRPr="000342ED" w:rsidRDefault="00DB0C99" w:rsidP="009707EA">
      <w:pPr>
        <w:pStyle w:val="Heading1"/>
      </w:pPr>
      <w:r>
        <w:t xml:space="preserve">9. </w:t>
      </w:r>
      <w:r w:rsidR="005839CE" w:rsidRPr="009707EA">
        <w:t xml:space="preserve">Resources and </w:t>
      </w:r>
      <w:r w:rsidR="0058247E" w:rsidRPr="009707EA">
        <w:t>f</w:t>
      </w:r>
      <w:r w:rsidR="005839CE" w:rsidRPr="009707EA">
        <w:t>urther</w:t>
      </w:r>
      <w:r w:rsidR="005839CE" w:rsidRPr="000342ED">
        <w:t xml:space="preserve"> </w:t>
      </w:r>
      <w:r w:rsidR="0058247E" w:rsidRPr="000342ED">
        <w:t>r</w:t>
      </w:r>
      <w:r w:rsidR="005839CE" w:rsidRPr="000342ED">
        <w:t>eading</w:t>
      </w:r>
    </w:p>
    <w:bookmarkStart w:id="0" w:name="_Hlk190097620"/>
    <w:p w14:paraId="40AB9752" w14:textId="68250129" w:rsidR="005839CE" w:rsidRPr="000342ED" w:rsidRDefault="005839CE" w:rsidP="0021693C">
      <w:pPr>
        <w:pStyle w:val="ListParagraph"/>
        <w:numPr>
          <w:ilvl w:val="0"/>
          <w:numId w:val="24"/>
        </w:numPr>
      </w:pPr>
      <w:r w:rsidRPr="0021693C">
        <w:fldChar w:fldCharType="begin"/>
      </w:r>
      <w:r w:rsidRPr="000342ED">
        <w:instrText>HYPERLINK "https://www.rcslt.org/members/clinical-guidance/bilingualism/"</w:instrText>
      </w:r>
      <w:r w:rsidRPr="0021693C">
        <w:fldChar w:fldCharType="separate"/>
      </w:r>
      <w:r w:rsidRPr="000342ED">
        <w:rPr>
          <w:color w:val="0000FF"/>
          <w:u w:val="single"/>
        </w:rPr>
        <w:t xml:space="preserve">RCSLT </w:t>
      </w:r>
      <w:r w:rsidR="000902A0" w:rsidRPr="000342ED">
        <w:rPr>
          <w:color w:val="0000FF"/>
          <w:u w:val="single"/>
        </w:rPr>
        <w:t>b</w:t>
      </w:r>
      <w:r w:rsidRPr="000342ED">
        <w:rPr>
          <w:color w:val="0000FF"/>
          <w:u w:val="single"/>
        </w:rPr>
        <w:t xml:space="preserve">ilingualism </w:t>
      </w:r>
      <w:r w:rsidR="000902A0" w:rsidRPr="000342ED">
        <w:rPr>
          <w:color w:val="0000FF"/>
          <w:u w:val="single"/>
        </w:rPr>
        <w:t>g</w:t>
      </w:r>
      <w:r w:rsidRPr="000342ED">
        <w:rPr>
          <w:color w:val="0000FF"/>
          <w:u w:val="single"/>
        </w:rPr>
        <w:t>uidance</w:t>
      </w:r>
      <w:r w:rsidRPr="0021693C">
        <w:fldChar w:fldCharType="end"/>
      </w:r>
      <w:bookmarkEnd w:id="0"/>
      <w:r w:rsidRPr="000342ED">
        <w:t xml:space="preserve"> – </w:t>
      </w:r>
      <w:r w:rsidR="000902A0" w:rsidRPr="000342ED">
        <w:t>e</w:t>
      </w:r>
      <w:r w:rsidRPr="000342ED">
        <w:t xml:space="preserve">ssential reference for SLTs working with bilingual </w:t>
      </w:r>
      <w:r w:rsidR="00E2375B" w:rsidRPr="000342ED">
        <w:t>people</w:t>
      </w:r>
    </w:p>
    <w:p w14:paraId="015E3F37" w14:textId="77777777" w:rsidR="00BB6AE6" w:rsidRDefault="007253B0" w:rsidP="00A261B3">
      <w:pPr>
        <w:pStyle w:val="ListParagraph"/>
        <w:numPr>
          <w:ilvl w:val="0"/>
          <w:numId w:val="24"/>
        </w:numPr>
      </w:pPr>
      <w:hyperlink r:id="rId16" w:history="1">
        <w:r w:rsidRPr="007253B0">
          <w:rPr>
            <w:rStyle w:val="Hyperlink"/>
          </w:rPr>
          <w:t>Working with interpreters (2023) (PDF)</w:t>
        </w:r>
      </w:hyperlink>
      <w:r w:rsidR="009E6840">
        <w:t xml:space="preserve"> – new standards for speech and language therapists working with children and young people in their home language</w:t>
      </w:r>
    </w:p>
    <w:p w14:paraId="6A34D898" w14:textId="307B32F2" w:rsidR="00246AFF" w:rsidRPr="000342ED" w:rsidRDefault="007253B0" w:rsidP="00A261B3">
      <w:pPr>
        <w:pStyle w:val="ListParagraph"/>
        <w:numPr>
          <w:ilvl w:val="0"/>
          <w:numId w:val="24"/>
        </w:numPr>
      </w:pPr>
      <w:hyperlink r:id="rId17" w:history="1">
        <w:r>
          <w:rPr>
            <w:rStyle w:val="Hyperlink"/>
          </w:rPr>
          <w:t>Information for interpreters (PDF)</w:t>
        </w:r>
      </w:hyperlink>
      <w:r w:rsidR="00C036BF" w:rsidRPr="000342ED">
        <w:t xml:space="preserve"> – information for interpreters</w:t>
      </w:r>
    </w:p>
    <w:p w14:paraId="11D8F2E5" w14:textId="33F0B1F2" w:rsidR="005839CE" w:rsidRPr="000342ED" w:rsidRDefault="005839CE" w:rsidP="0021693C">
      <w:pPr>
        <w:pStyle w:val="ListParagraph"/>
        <w:numPr>
          <w:ilvl w:val="0"/>
          <w:numId w:val="24"/>
        </w:numPr>
      </w:pPr>
      <w:hyperlink r:id="rId18">
        <w:r w:rsidRPr="000342ED">
          <w:rPr>
            <w:color w:val="0000FF"/>
            <w:u w:val="single"/>
          </w:rPr>
          <w:t xml:space="preserve">Working with </w:t>
        </w:r>
        <w:proofErr w:type="gramStart"/>
        <w:r w:rsidR="000902A0" w:rsidRPr="000342ED">
          <w:rPr>
            <w:color w:val="0000FF"/>
            <w:u w:val="single"/>
          </w:rPr>
          <w:t>i</w:t>
        </w:r>
        <w:r w:rsidRPr="000342ED">
          <w:rPr>
            <w:color w:val="0000FF"/>
            <w:u w:val="single"/>
          </w:rPr>
          <w:t>nterpreters</w:t>
        </w:r>
        <w:proofErr w:type="gramEnd"/>
        <w:r w:rsidRPr="000342ED">
          <w:rPr>
            <w:color w:val="0000FF"/>
            <w:u w:val="single"/>
          </w:rPr>
          <w:t xml:space="preserve"> </w:t>
        </w:r>
        <w:r w:rsidR="000902A0" w:rsidRPr="000342ED">
          <w:rPr>
            <w:color w:val="0000FF"/>
            <w:u w:val="single"/>
          </w:rPr>
          <w:t>c</w:t>
        </w:r>
        <w:r w:rsidRPr="000342ED">
          <w:rPr>
            <w:color w:val="0000FF"/>
            <w:u w:val="single"/>
          </w:rPr>
          <w:t>hecklist (PDF)</w:t>
        </w:r>
      </w:hyperlink>
      <w:r w:rsidR="00C665A2">
        <w:rPr>
          <w:color w:val="EE0000"/>
        </w:rPr>
        <w:t xml:space="preserve"> </w:t>
      </w:r>
      <w:r w:rsidRPr="000342ED">
        <w:t xml:space="preserve">– </w:t>
      </w:r>
      <w:r w:rsidR="00275390">
        <w:t>a</w:t>
      </w:r>
      <w:r w:rsidRPr="000342ED">
        <w:t xml:space="preserve"> step-by-step guide for best practice</w:t>
      </w:r>
    </w:p>
    <w:p w14:paraId="347C2925" w14:textId="22DF3FEC" w:rsidR="005839CE" w:rsidRPr="000342ED" w:rsidRDefault="005839CE" w:rsidP="0021693C">
      <w:pPr>
        <w:pStyle w:val="ListParagraph"/>
        <w:numPr>
          <w:ilvl w:val="0"/>
          <w:numId w:val="23"/>
        </w:numPr>
        <w:rPr>
          <w:color w:val="3366FF"/>
        </w:rPr>
      </w:pPr>
      <w:r w:rsidRPr="000342ED">
        <w:rPr>
          <w:color w:val="212529"/>
          <w:shd w:val="clear" w:color="auto" w:fill="FFFFFF"/>
        </w:rPr>
        <w:t>The London Bilingualism CEN have also developed guidelines for </w:t>
      </w:r>
      <w:hyperlink r:id="rId19" w:history="1">
        <w:r w:rsidRPr="000342ED">
          <w:rPr>
            <w:color w:val="0000FF"/>
            <w:u w:val="single"/>
          </w:rPr>
          <w:t>working with interpreters via video-conferencing software to deliver telehealth (PDF)</w:t>
        </w:r>
      </w:hyperlink>
    </w:p>
    <w:p w14:paraId="1A43383A" w14:textId="3815FECD" w:rsidR="005839CE" w:rsidRPr="000342ED" w:rsidRDefault="007253B0" w:rsidP="0021693C">
      <w:pPr>
        <w:pStyle w:val="ListParagraph"/>
        <w:numPr>
          <w:ilvl w:val="0"/>
          <w:numId w:val="23"/>
        </w:numPr>
      </w:pPr>
      <w:hyperlink r:id="rId20" w:history="1">
        <w:r>
          <w:rPr>
            <w:color w:val="0000FF"/>
            <w:u w:val="single"/>
          </w:rPr>
          <w:t>Equality Act 2010</w:t>
        </w:r>
      </w:hyperlink>
      <w:r w:rsidR="00512611" w:rsidRPr="000342ED">
        <w:t xml:space="preserve"> </w:t>
      </w:r>
    </w:p>
    <w:p w14:paraId="48EE5F68" w14:textId="7B31DE08" w:rsidR="009707EA" w:rsidRDefault="005839CE" w:rsidP="000312F2">
      <w:pPr>
        <w:ind w:left="360"/>
      </w:pPr>
      <w:r w:rsidRPr="000342ED">
        <w:t xml:space="preserve">For additional support, contact the </w:t>
      </w:r>
      <w:hyperlink r:id="rId21" w:history="1">
        <w:r w:rsidRPr="000312F2">
          <w:rPr>
            <w:color w:val="0000FF"/>
            <w:u w:val="single"/>
          </w:rPr>
          <w:t xml:space="preserve">RCSLT </w:t>
        </w:r>
        <w:r w:rsidR="000D508C" w:rsidRPr="000312F2">
          <w:rPr>
            <w:color w:val="0000FF"/>
            <w:u w:val="single"/>
          </w:rPr>
          <w:t>h</w:t>
        </w:r>
        <w:r w:rsidRPr="000312F2">
          <w:rPr>
            <w:color w:val="0000FF"/>
            <w:u w:val="single"/>
          </w:rPr>
          <w:t>elpline</w:t>
        </w:r>
      </w:hyperlink>
    </w:p>
    <w:p w14:paraId="47A88843" w14:textId="411BE3B7" w:rsidR="00614737" w:rsidRPr="0021693C" w:rsidRDefault="00DB0C99" w:rsidP="009707EA">
      <w:pPr>
        <w:spacing w:before="240" w:after="240"/>
      </w:pPr>
      <w:r w:rsidRPr="000D508C">
        <w:rPr>
          <w:rStyle w:val="Heading1Char"/>
        </w:rPr>
        <w:t>10</w:t>
      </w:r>
      <w:r w:rsidR="009707EA" w:rsidRPr="000D508C">
        <w:rPr>
          <w:rStyle w:val="Heading1Char"/>
        </w:rPr>
        <w:t>. Reflection question</w:t>
      </w:r>
      <w:r w:rsidR="00614737" w:rsidRPr="00614737">
        <w:br/>
      </w:r>
      <w:r w:rsidR="00614737" w:rsidRPr="0021693C">
        <w:t>Consider the following question while reviewing the guidance: How can speech and language therapists ensure that they work effectively with interpreters to provide equitable and culturally competent care, while also addressing potential challenges such as linguistic nuances, ethical considerations, and resource limitations?</w:t>
      </w:r>
    </w:p>
    <w:p w14:paraId="1D66CDB9" w14:textId="4D96EA2B" w:rsidR="001C1581" w:rsidRPr="000342ED" w:rsidRDefault="001C1581" w:rsidP="0021693C"/>
    <w:sectPr w:rsidR="001C1581" w:rsidRPr="000342ED">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12B0E" w14:textId="77777777" w:rsidR="000065B4" w:rsidRDefault="000065B4" w:rsidP="0021693C">
      <w:r>
        <w:separator/>
      </w:r>
    </w:p>
  </w:endnote>
  <w:endnote w:type="continuationSeparator" w:id="0">
    <w:p w14:paraId="358D3578" w14:textId="77777777" w:rsidR="000065B4" w:rsidRDefault="000065B4" w:rsidP="0021693C">
      <w:r>
        <w:continuationSeparator/>
      </w:r>
    </w:p>
  </w:endnote>
  <w:endnote w:type="continuationNotice" w:id="1">
    <w:p w14:paraId="5E30E60A" w14:textId="77777777" w:rsidR="000065B4" w:rsidRDefault="000065B4" w:rsidP="00216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A11E" w14:textId="77777777" w:rsidR="000342ED" w:rsidRDefault="000342ED" w:rsidP="00216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CCC276C" w14:paraId="183BC0B4" w14:textId="77777777" w:rsidTr="0CCC276C">
      <w:trPr>
        <w:trHeight w:val="300"/>
      </w:trPr>
      <w:tc>
        <w:tcPr>
          <w:tcW w:w="3005" w:type="dxa"/>
        </w:tcPr>
        <w:p w14:paraId="1936DB57" w14:textId="16C78B30" w:rsidR="0CCC276C" w:rsidRDefault="0CCC276C" w:rsidP="0021693C">
          <w:pPr>
            <w:pStyle w:val="Header"/>
          </w:pPr>
        </w:p>
      </w:tc>
      <w:tc>
        <w:tcPr>
          <w:tcW w:w="3005" w:type="dxa"/>
        </w:tcPr>
        <w:p w14:paraId="04C76559" w14:textId="3AB55B01" w:rsidR="0CCC276C" w:rsidRDefault="0CCC276C" w:rsidP="0021693C">
          <w:pPr>
            <w:pStyle w:val="Header"/>
          </w:pPr>
        </w:p>
      </w:tc>
      <w:tc>
        <w:tcPr>
          <w:tcW w:w="3005" w:type="dxa"/>
        </w:tcPr>
        <w:p w14:paraId="2F08BCAF" w14:textId="7AB7DB14" w:rsidR="0CCC276C" w:rsidRDefault="0CCC276C" w:rsidP="0021693C">
          <w:pPr>
            <w:pStyle w:val="Header"/>
          </w:pPr>
          <w:r>
            <w:fldChar w:fldCharType="begin"/>
          </w:r>
          <w:r>
            <w:instrText>PAGE</w:instrText>
          </w:r>
          <w:r>
            <w:fldChar w:fldCharType="separate"/>
          </w:r>
          <w:r w:rsidR="007862ED">
            <w:rPr>
              <w:noProof/>
            </w:rPr>
            <w:t>1</w:t>
          </w:r>
          <w:r>
            <w:fldChar w:fldCharType="end"/>
          </w:r>
        </w:p>
      </w:tc>
    </w:tr>
  </w:tbl>
  <w:p w14:paraId="0278F2AE" w14:textId="1353E6D2" w:rsidR="0CCC276C" w:rsidRDefault="0CCC276C" w:rsidP="00216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3265" w14:textId="77777777" w:rsidR="000342ED" w:rsidRDefault="000342ED" w:rsidP="00216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A3D47" w14:textId="77777777" w:rsidR="000065B4" w:rsidRDefault="000065B4" w:rsidP="0021693C">
      <w:r>
        <w:separator/>
      </w:r>
    </w:p>
  </w:footnote>
  <w:footnote w:type="continuationSeparator" w:id="0">
    <w:p w14:paraId="4BB72117" w14:textId="77777777" w:rsidR="000065B4" w:rsidRDefault="000065B4" w:rsidP="0021693C">
      <w:r>
        <w:continuationSeparator/>
      </w:r>
    </w:p>
  </w:footnote>
  <w:footnote w:type="continuationNotice" w:id="1">
    <w:p w14:paraId="232B3548" w14:textId="77777777" w:rsidR="000065B4" w:rsidRDefault="000065B4" w:rsidP="00216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D8475" w14:textId="77777777" w:rsidR="000342ED" w:rsidRDefault="000342ED" w:rsidP="00216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CCC276C" w14:paraId="3247426E" w14:textId="77777777" w:rsidTr="0CCC276C">
      <w:trPr>
        <w:trHeight w:val="300"/>
      </w:trPr>
      <w:tc>
        <w:tcPr>
          <w:tcW w:w="3005" w:type="dxa"/>
        </w:tcPr>
        <w:p w14:paraId="0399F7FA" w14:textId="661E0388" w:rsidR="0CCC276C" w:rsidRDefault="0CCC276C" w:rsidP="0021693C">
          <w:pPr>
            <w:pStyle w:val="Header"/>
          </w:pPr>
        </w:p>
      </w:tc>
      <w:tc>
        <w:tcPr>
          <w:tcW w:w="3005" w:type="dxa"/>
        </w:tcPr>
        <w:p w14:paraId="5B1E0DD1" w14:textId="287A5DF0" w:rsidR="0CCC276C" w:rsidRDefault="00874D37" w:rsidP="0021693C">
          <w:pPr>
            <w:pStyle w:val="Header"/>
          </w:pPr>
          <w:r>
            <w:rPr>
              <w:noProof/>
            </w:rPr>
            <mc:AlternateContent>
              <mc:Choice Requires="wps">
                <w:drawing>
                  <wp:anchor distT="0" distB="0" distL="114300" distR="114300" simplePos="0" relativeHeight="251657216" behindDoc="0" locked="0" layoutInCell="1" allowOverlap="1" wp14:anchorId="36A762DC" wp14:editId="0A4C06D2">
                    <wp:simplePos x="0" y="0"/>
                    <wp:positionH relativeFrom="column">
                      <wp:posOffset>-1938655</wp:posOffset>
                    </wp:positionH>
                    <wp:positionV relativeFrom="paragraph">
                      <wp:posOffset>1270</wp:posOffset>
                    </wp:positionV>
                    <wp:extent cx="3725333" cy="387350"/>
                    <wp:effectExtent l="0" t="0" r="0" b="0"/>
                    <wp:wrapNone/>
                    <wp:docPr id="286156329" name="Text Box 286156329"/>
                    <wp:cNvGraphicFramePr/>
                    <a:graphic xmlns:a="http://schemas.openxmlformats.org/drawingml/2006/main">
                      <a:graphicData uri="http://schemas.microsoft.com/office/word/2010/wordprocessingShape">
                        <wps:wsp>
                          <wps:cNvSpPr txBox="1"/>
                          <wps:spPr>
                            <a:xfrm>
                              <a:off x="0" y="0"/>
                              <a:ext cx="3725333" cy="387350"/>
                            </a:xfrm>
                            <a:prstGeom prst="rect">
                              <a:avLst/>
                            </a:prstGeom>
                            <a:noFill/>
                            <a:ln w="6350">
                              <a:noFill/>
                            </a:ln>
                          </wps:spPr>
                          <wps:txbx>
                            <w:txbxContent>
                              <w:p w14:paraId="26E8FA58" w14:textId="49B3C40B" w:rsidR="00DB2B09" w:rsidRPr="001274B6" w:rsidRDefault="00874D37" w:rsidP="0021693C">
                                <w:proofErr w:type="gramStart"/>
                                <w:r>
                                  <w:t>Interpreters</w:t>
                                </w:r>
                                <w:proofErr w:type="gramEnd"/>
                                <w:r>
                                  <w:t xml:space="preserve"> guidance</w:t>
                                </w:r>
                                <w:r w:rsidR="00DB2B09">
                                  <w:t xml:space="preserve"> </w:t>
                                </w:r>
                                <w:r w:rsidR="00DB2B09" w:rsidRPr="001274B6">
                                  <w:t>–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A762DC" id="_x0000_t202" coordsize="21600,21600" o:spt="202" path="m,l,21600r21600,l21600,xe">
                    <v:stroke joinstyle="miter"/>
                    <v:path gradientshapeok="t" o:connecttype="rect"/>
                  </v:shapetype>
                  <v:shape id="Text Box 286156329" o:spid="_x0000_s1026" type="#_x0000_t202" style="position:absolute;margin-left:-152.65pt;margin-top:.1pt;width:293.35pt;height:3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" filled="f" stroked="f" strokeweight=".5pt">
                    <v:textbox>
                      <w:txbxContent>
                        <w:p w14:paraId="26E8FA58" w14:textId="49B3C40B" w:rsidR="00DB2B09" w:rsidRPr="001274B6" w:rsidRDefault="00874D37" w:rsidP="0021693C">
                          <w:proofErr w:type="gramStart"/>
                          <w:r>
                            <w:t>Interpreters</w:t>
                          </w:r>
                          <w:proofErr w:type="gramEnd"/>
                          <w:r>
                            <w:t xml:space="preserve"> guidance</w:t>
                          </w:r>
                          <w:r w:rsidR="00DB2B09">
                            <w:t xml:space="preserve"> </w:t>
                          </w:r>
                          <w:r w:rsidR="00DB2B09" w:rsidRPr="001274B6">
                            <w:t>– DRAFT FOR CONSULTATION</w:t>
                          </w:r>
                        </w:p>
                      </w:txbxContent>
                    </v:textbox>
                  </v:shape>
                </w:pict>
              </mc:Fallback>
            </mc:AlternateContent>
          </w:r>
        </w:p>
      </w:tc>
      <w:tc>
        <w:tcPr>
          <w:tcW w:w="3005" w:type="dxa"/>
        </w:tcPr>
        <w:p w14:paraId="0851ADAE" w14:textId="7FB9450A" w:rsidR="0CCC276C" w:rsidRDefault="00874D37" w:rsidP="0021693C">
          <w:pPr>
            <w:pStyle w:val="Header"/>
          </w:pPr>
          <w:r>
            <w:rPr>
              <w:noProof/>
            </w:rPr>
            <w:drawing>
              <wp:inline distT="0" distB="0" distL="0" distR="0" wp14:anchorId="019A8E24" wp14:editId="7DF7D381">
                <wp:extent cx="1929954" cy="666750"/>
                <wp:effectExtent l="0" t="0" r="0" b="0"/>
                <wp:docPr id="2" name="Picture 2" descr="RCS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CSL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inline>
            </w:drawing>
          </w:r>
        </w:p>
      </w:tc>
    </w:tr>
  </w:tbl>
  <w:sdt>
    <w:sdtPr>
      <w:id w:val="-24022162"/>
      <w:docPartObj>
        <w:docPartGallery w:val="Watermarks"/>
        <w:docPartUnique/>
      </w:docPartObj>
    </w:sdtPr>
    <w:sdtContent>
      <w:p w14:paraId="48450F56" w14:textId="27583DD8" w:rsidR="0CCC276C" w:rsidRDefault="00000000" w:rsidP="0021693C">
        <w:pPr>
          <w:pStyle w:val="Header"/>
        </w:pPr>
        <w:r>
          <w:rPr>
            <w:noProof/>
          </w:rPr>
          <w:pict w14:anchorId="3B231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09B2C" w14:textId="77777777" w:rsidR="000342ED" w:rsidRDefault="000342ED" w:rsidP="00216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11BE"/>
    <w:multiLevelType w:val="multilevel"/>
    <w:tmpl w:val="9A30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C417D"/>
    <w:multiLevelType w:val="hybridMultilevel"/>
    <w:tmpl w:val="087E0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D17E9"/>
    <w:multiLevelType w:val="hybridMultilevel"/>
    <w:tmpl w:val="E786C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D780F"/>
    <w:multiLevelType w:val="hybridMultilevel"/>
    <w:tmpl w:val="3BE06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3272"/>
    <w:multiLevelType w:val="hybridMultilevel"/>
    <w:tmpl w:val="009E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33933"/>
    <w:multiLevelType w:val="multilevel"/>
    <w:tmpl w:val="14CE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14950"/>
    <w:multiLevelType w:val="hybridMultilevel"/>
    <w:tmpl w:val="73A26B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8C649E"/>
    <w:multiLevelType w:val="multilevel"/>
    <w:tmpl w:val="BA5E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D90E53"/>
    <w:multiLevelType w:val="multilevel"/>
    <w:tmpl w:val="BA5E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97638"/>
    <w:multiLevelType w:val="multilevel"/>
    <w:tmpl w:val="3CDE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F306ED"/>
    <w:multiLevelType w:val="multilevel"/>
    <w:tmpl w:val="AC6E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025DBD"/>
    <w:multiLevelType w:val="multilevel"/>
    <w:tmpl w:val="B620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6C09E2"/>
    <w:multiLevelType w:val="multilevel"/>
    <w:tmpl w:val="8AE4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BF0AEE"/>
    <w:multiLevelType w:val="multilevel"/>
    <w:tmpl w:val="DEE6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69102C"/>
    <w:multiLevelType w:val="multilevel"/>
    <w:tmpl w:val="20A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0F426D"/>
    <w:multiLevelType w:val="multilevel"/>
    <w:tmpl w:val="FF561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A66CA5"/>
    <w:multiLevelType w:val="multilevel"/>
    <w:tmpl w:val="9AD4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757304"/>
    <w:multiLevelType w:val="multilevel"/>
    <w:tmpl w:val="AC6E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802276"/>
    <w:multiLevelType w:val="multilevel"/>
    <w:tmpl w:val="BA5E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617020"/>
    <w:multiLevelType w:val="multilevel"/>
    <w:tmpl w:val="759C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E714A6"/>
    <w:multiLevelType w:val="multilevel"/>
    <w:tmpl w:val="986C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AD6100"/>
    <w:multiLevelType w:val="multilevel"/>
    <w:tmpl w:val="1C5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EA0329"/>
    <w:multiLevelType w:val="multilevel"/>
    <w:tmpl w:val="B360FA22"/>
    <w:lvl w:ilvl="0">
      <w:start w:val="5"/>
      <w:numFmt w:val="decimal"/>
      <w:lvlText w:val="%1"/>
      <w:lvlJc w:val="left"/>
      <w:pPr>
        <w:ind w:left="370" w:hanging="370"/>
      </w:pPr>
      <w:rPr>
        <w:rFonts w:hint="default"/>
      </w:rPr>
    </w:lvl>
    <w:lvl w:ilvl="1">
      <w:start w:val="5"/>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45D63"/>
    <w:multiLevelType w:val="hybridMultilevel"/>
    <w:tmpl w:val="B926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FB3174"/>
    <w:multiLevelType w:val="multilevel"/>
    <w:tmpl w:val="C1DE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603644"/>
    <w:multiLevelType w:val="multilevel"/>
    <w:tmpl w:val="2D20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83411C"/>
    <w:multiLevelType w:val="multilevel"/>
    <w:tmpl w:val="BA5E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BA02F2"/>
    <w:multiLevelType w:val="multilevel"/>
    <w:tmpl w:val="7414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AC1433"/>
    <w:multiLevelType w:val="multilevel"/>
    <w:tmpl w:val="1E4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0E5043"/>
    <w:multiLevelType w:val="multilevel"/>
    <w:tmpl w:val="986C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516781"/>
    <w:multiLevelType w:val="multilevel"/>
    <w:tmpl w:val="F9A4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8E0DD2"/>
    <w:multiLevelType w:val="multilevel"/>
    <w:tmpl w:val="BA5E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B00DF5"/>
    <w:multiLevelType w:val="multilevel"/>
    <w:tmpl w:val="748461A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AF50A7"/>
    <w:multiLevelType w:val="multilevel"/>
    <w:tmpl w:val="AC6E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5B034F"/>
    <w:multiLevelType w:val="multilevel"/>
    <w:tmpl w:val="4410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E27740"/>
    <w:multiLevelType w:val="multilevel"/>
    <w:tmpl w:val="53069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2C2116"/>
    <w:multiLevelType w:val="multilevel"/>
    <w:tmpl w:val="E4AE776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7" w15:restartNumberingAfterBreak="0">
    <w:nsid w:val="6DD66D46"/>
    <w:multiLevelType w:val="multilevel"/>
    <w:tmpl w:val="AC6E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696496"/>
    <w:multiLevelType w:val="multilevel"/>
    <w:tmpl w:val="309C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DD74A1"/>
    <w:multiLevelType w:val="multilevel"/>
    <w:tmpl w:val="3C0E6424"/>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298980">
    <w:abstractNumId w:val="25"/>
  </w:num>
  <w:num w:numId="2" w16cid:durableId="1563519679">
    <w:abstractNumId w:val="19"/>
  </w:num>
  <w:num w:numId="3" w16cid:durableId="572811382">
    <w:abstractNumId w:val="16"/>
  </w:num>
  <w:num w:numId="4" w16cid:durableId="737946657">
    <w:abstractNumId w:val="28"/>
  </w:num>
  <w:num w:numId="5" w16cid:durableId="86121034">
    <w:abstractNumId w:val="9"/>
  </w:num>
  <w:num w:numId="6" w16cid:durableId="1054305599">
    <w:abstractNumId w:val="20"/>
  </w:num>
  <w:num w:numId="7" w16cid:durableId="1008143926">
    <w:abstractNumId w:val="24"/>
  </w:num>
  <w:num w:numId="8" w16cid:durableId="274602525">
    <w:abstractNumId w:val="15"/>
  </w:num>
  <w:num w:numId="9" w16cid:durableId="1179664731">
    <w:abstractNumId w:val="34"/>
  </w:num>
  <w:num w:numId="10" w16cid:durableId="1625044258">
    <w:abstractNumId w:val="5"/>
  </w:num>
  <w:num w:numId="11" w16cid:durableId="1119186602">
    <w:abstractNumId w:val="33"/>
  </w:num>
  <w:num w:numId="12" w16cid:durableId="188304198">
    <w:abstractNumId w:val="31"/>
  </w:num>
  <w:num w:numId="13" w16cid:durableId="540901166">
    <w:abstractNumId w:val="4"/>
  </w:num>
  <w:num w:numId="14" w16cid:durableId="2062900989">
    <w:abstractNumId w:val="23"/>
  </w:num>
  <w:num w:numId="15" w16cid:durableId="109517320">
    <w:abstractNumId w:val="18"/>
  </w:num>
  <w:num w:numId="16" w16cid:durableId="1219324528">
    <w:abstractNumId w:val="26"/>
  </w:num>
  <w:num w:numId="17" w16cid:durableId="523982857">
    <w:abstractNumId w:val="7"/>
  </w:num>
  <w:num w:numId="18" w16cid:durableId="371923515">
    <w:abstractNumId w:val="8"/>
  </w:num>
  <w:num w:numId="19" w16cid:durableId="911427071">
    <w:abstractNumId w:val="32"/>
  </w:num>
  <w:num w:numId="20" w16cid:durableId="677581036">
    <w:abstractNumId w:val="29"/>
  </w:num>
  <w:num w:numId="21" w16cid:durableId="1308584179">
    <w:abstractNumId w:val="37"/>
  </w:num>
  <w:num w:numId="22" w16cid:durableId="533494882">
    <w:abstractNumId w:val="10"/>
  </w:num>
  <w:num w:numId="23" w16cid:durableId="1766615369">
    <w:abstractNumId w:val="39"/>
  </w:num>
  <w:num w:numId="24" w16cid:durableId="670987291">
    <w:abstractNumId w:val="17"/>
  </w:num>
  <w:num w:numId="25" w16cid:durableId="1377046995">
    <w:abstractNumId w:val="0"/>
  </w:num>
  <w:num w:numId="26" w16cid:durableId="667098119">
    <w:abstractNumId w:val="27"/>
  </w:num>
  <w:num w:numId="27" w16cid:durableId="681471585">
    <w:abstractNumId w:val="38"/>
  </w:num>
  <w:num w:numId="28" w16cid:durableId="96102211">
    <w:abstractNumId w:val="13"/>
  </w:num>
  <w:num w:numId="29" w16cid:durableId="1664624916">
    <w:abstractNumId w:val="36"/>
  </w:num>
  <w:num w:numId="30" w16cid:durableId="454836693">
    <w:abstractNumId w:val="30"/>
  </w:num>
  <w:num w:numId="31" w16cid:durableId="822693940">
    <w:abstractNumId w:val="21"/>
  </w:num>
  <w:num w:numId="32" w16cid:durableId="1981307223">
    <w:abstractNumId w:val="12"/>
  </w:num>
  <w:num w:numId="33" w16cid:durableId="387920691">
    <w:abstractNumId w:val="11"/>
  </w:num>
  <w:num w:numId="34" w16cid:durableId="774708901">
    <w:abstractNumId w:val="14"/>
  </w:num>
  <w:num w:numId="35" w16cid:durableId="1295990936">
    <w:abstractNumId w:val="35"/>
  </w:num>
  <w:num w:numId="36" w16cid:durableId="1240868479">
    <w:abstractNumId w:val="1"/>
  </w:num>
  <w:num w:numId="37" w16cid:durableId="1260066583">
    <w:abstractNumId w:val="2"/>
  </w:num>
  <w:num w:numId="38" w16cid:durableId="1881241204">
    <w:abstractNumId w:val="3"/>
  </w:num>
  <w:num w:numId="39" w16cid:durableId="2004821968">
    <w:abstractNumId w:val="6"/>
  </w:num>
  <w:num w:numId="40" w16cid:durableId="13571956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CE"/>
    <w:rsid w:val="000065B4"/>
    <w:rsid w:val="000125E8"/>
    <w:rsid w:val="000254BF"/>
    <w:rsid w:val="000301AB"/>
    <w:rsid w:val="000312F2"/>
    <w:rsid w:val="000332EE"/>
    <w:rsid w:val="000342ED"/>
    <w:rsid w:val="0004565D"/>
    <w:rsid w:val="000555B0"/>
    <w:rsid w:val="00065B3B"/>
    <w:rsid w:val="00072C82"/>
    <w:rsid w:val="00076A63"/>
    <w:rsid w:val="00080C5F"/>
    <w:rsid w:val="0008485F"/>
    <w:rsid w:val="00086480"/>
    <w:rsid w:val="000902A0"/>
    <w:rsid w:val="0009247A"/>
    <w:rsid w:val="00094850"/>
    <w:rsid w:val="00095C07"/>
    <w:rsid w:val="000B002E"/>
    <w:rsid w:val="000B27F1"/>
    <w:rsid w:val="000B523B"/>
    <w:rsid w:val="000D508C"/>
    <w:rsid w:val="000D62AF"/>
    <w:rsid w:val="000E2C3F"/>
    <w:rsid w:val="000F515D"/>
    <w:rsid w:val="0011125F"/>
    <w:rsid w:val="0012037D"/>
    <w:rsid w:val="00125183"/>
    <w:rsid w:val="001515D3"/>
    <w:rsid w:val="001721E8"/>
    <w:rsid w:val="0019297C"/>
    <w:rsid w:val="001A3085"/>
    <w:rsid w:val="001A6C3A"/>
    <w:rsid w:val="001B158F"/>
    <w:rsid w:val="001C1581"/>
    <w:rsid w:val="001D665D"/>
    <w:rsid w:val="001D6BDC"/>
    <w:rsid w:val="001E2178"/>
    <w:rsid w:val="001E6D4E"/>
    <w:rsid w:val="001F4FDA"/>
    <w:rsid w:val="00204EA3"/>
    <w:rsid w:val="00205829"/>
    <w:rsid w:val="0020757F"/>
    <w:rsid w:val="00213A43"/>
    <w:rsid w:val="00214BD0"/>
    <w:rsid w:val="0021693C"/>
    <w:rsid w:val="0022372E"/>
    <w:rsid w:val="00244D2C"/>
    <w:rsid w:val="00246AFF"/>
    <w:rsid w:val="00255605"/>
    <w:rsid w:val="00262B76"/>
    <w:rsid w:val="00265FC2"/>
    <w:rsid w:val="00275390"/>
    <w:rsid w:val="002830CA"/>
    <w:rsid w:val="00286BDA"/>
    <w:rsid w:val="00295355"/>
    <w:rsid w:val="00296FA4"/>
    <w:rsid w:val="002A2400"/>
    <w:rsid w:val="002B459E"/>
    <w:rsid w:val="002D0056"/>
    <w:rsid w:val="002D280F"/>
    <w:rsid w:val="002D50A8"/>
    <w:rsid w:val="002F29EF"/>
    <w:rsid w:val="003008B6"/>
    <w:rsid w:val="00301FB1"/>
    <w:rsid w:val="0031495C"/>
    <w:rsid w:val="00342D51"/>
    <w:rsid w:val="003445C8"/>
    <w:rsid w:val="003452B2"/>
    <w:rsid w:val="003545D7"/>
    <w:rsid w:val="0035483F"/>
    <w:rsid w:val="00360444"/>
    <w:rsid w:val="00364A13"/>
    <w:rsid w:val="00373DC3"/>
    <w:rsid w:val="003830E4"/>
    <w:rsid w:val="00394547"/>
    <w:rsid w:val="00395850"/>
    <w:rsid w:val="003A6E80"/>
    <w:rsid w:val="003B3461"/>
    <w:rsid w:val="003C16B2"/>
    <w:rsid w:val="003C2BE7"/>
    <w:rsid w:val="003F084D"/>
    <w:rsid w:val="003F220B"/>
    <w:rsid w:val="003F55C5"/>
    <w:rsid w:val="003F7B7E"/>
    <w:rsid w:val="00401A13"/>
    <w:rsid w:val="00406EC0"/>
    <w:rsid w:val="004112B7"/>
    <w:rsid w:val="00421B63"/>
    <w:rsid w:val="00430FC0"/>
    <w:rsid w:val="004328A9"/>
    <w:rsid w:val="00466E72"/>
    <w:rsid w:val="00483F49"/>
    <w:rsid w:val="004A0B12"/>
    <w:rsid w:val="004B03E9"/>
    <w:rsid w:val="004B4770"/>
    <w:rsid w:val="004B63D0"/>
    <w:rsid w:val="004C6CC4"/>
    <w:rsid w:val="004D22ED"/>
    <w:rsid w:val="004E2261"/>
    <w:rsid w:val="005106A3"/>
    <w:rsid w:val="00512611"/>
    <w:rsid w:val="00512B30"/>
    <w:rsid w:val="00521835"/>
    <w:rsid w:val="00523328"/>
    <w:rsid w:val="00544DAE"/>
    <w:rsid w:val="005466D7"/>
    <w:rsid w:val="00576DED"/>
    <w:rsid w:val="00580556"/>
    <w:rsid w:val="00581135"/>
    <w:rsid w:val="0058247E"/>
    <w:rsid w:val="00582BFA"/>
    <w:rsid w:val="005839CE"/>
    <w:rsid w:val="00584E05"/>
    <w:rsid w:val="00592B20"/>
    <w:rsid w:val="00596163"/>
    <w:rsid w:val="00597BB8"/>
    <w:rsid w:val="005B558D"/>
    <w:rsid w:val="005D0BF7"/>
    <w:rsid w:val="005D19C2"/>
    <w:rsid w:val="005D5271"/>
    <w:rsid w:val="005E2A01"/>
    <w:rsid w:val="005E308F"/>
    <w:rsid w:val="005E3BB4"/>
    <w:rsid w:val="005E7725"/>
    <w:rsid w:val="005F5128"/>
    <w:rsid w:val="00605C35"/>
    <w:rsid w:val="00606981"/>
    <w:rsid w:val="00610728"/>
    <w:rsid w:val="00614737"/>
    <w:rsid w:val="00626344"/>
    <w:rsid w:val="00650E8D"/>
    <w:rsid w:val="00652B7E"/>
    <w:rsid w:val="0065325F"/>
    <w:rsid w:val="0065657F"/>
    <w:rsid w:val="006651A2"/>
    <w:rsid w:val="00665DC7"/>
    <w:rsid w:val="006942F9"/>
    <w:rsid w:val="006A534B"/>
    <w:rsid w:val="006A6A59"/>
    <w:rsid w:val="006B23C6"/>
    <w:rsid w:val="006B5AEE"/>
    <w:rsid w:val="006C1677"/>
    <w:rsid w:val="006D79DA"/>
    <w:rsid w:val="006E6AA2"/>
    <w:rsid w:val="007253B0"/>
    <w:rsid w:val="00727BF1"/>
    <w:rsid w:val="00736220"/>
    <w:rsid w:val="00742F3A"/>
    <w:rsid w:val="00745BCC"/>
    <w:rsid w:val="00752B6C"/>
    <w:rsid w:val="00757917"/>
    <w:rsid w:val="007815DC"/>
    <w:rsid w:val="007862ED"/>
    <w:rsid w:val="007A22F9"/>
    <w:rsid w:val="007C2807"/>
    <w:rsid w:val="007D05CA"/>
    <w:rsid w:val="007D4B9A"/>
    <w:rsid w:val="007D7D35"/>
    <w:rsid w:val="007E20E2"/>
    <w:rsid w:val="007F0636"/>
    <w:rsid w:val="008017FB"/>
    <w:rsid w:val="00811E66"/>
    <w:rsid w:val="0081433D"/>
    <w:rsid w:val="00822064"/>
    <w:rsid w:val="0082558A"/>
    <w:rsid w:val="00827AEE"/>
    <w:rsid w:val="00830C33"/>
    <w:rsid w:val="00837C4F"/>
    <w:rsid w:val="00846129"/>
    <w:rsid w:val="00852048"/>
    <w:rsid w:val="008534BB"/>
    <w:rsid w:val="008561B9"/>
    <w:rsid w:val="00860F05"/>
    <w:rsid w:val="0086408F"/>
    <w:rsid w:val="008730B1"/>
    <w:rsid w:val="00874D37"/>
    <w:rsid w:val="00880294"/>
    <w:rsid w:val="00881826"/>
    <w:rsid w:val="008837FC"/>
    <w:rsid w:val="008A4DEF"/>
    <w:rsid w:val="008A6C07"/>
    <w:rsid w:val="008B0466"/>
    <w:rsid w:val="008D2ABE"/>
    <w:rsid w:val="008E391F"/>
    <w:rsid w:val="008F4CB2"/>
    <w:rsid w:val="008F78B0"/>
    <w:rsid w:val="00903EE4"/>
    <w:rsid w:val="00913D28"/>
    <w:rsid w:val="00921079"/>
    <w:rsid w:val="00935776"/>
    <w:rsid w:val="00936E60"/>
    <w:rsid w:val="009477B0"/>
    <w:rsid w:val="00950988"/>
    <w:rsid w:val="00952F87"/>
    <w:rsid w:val="00953B4E"/>
    <w:rsid w:val="00961EF9"/>
    <w:rsid w:val="009645E5"/>
    <w:rsid w:val="0096487E"/>
    <w:rsid w:val="0096725A"/>
    <w:rsid w:val="009707EA"/>
    <w:rsid w:val="00977C02"/>
    <w:rsid w:val="00983D66"/>
    <w:rsid w:val="0099156B"/>
    <w:rsid w:val="009A36F5"/>
    <w:rsid w:val="009A7159"/>
    <w:rsid w:val="009C2ADC"/>
    <w:rsid w:val="009E05E2"/>
    <w:rsid w:val="009E6840"/>
    <w:rsid w:val="009E75F0"/>
    <w:rsid w:val="00A005AD"/>
    <w:rsid w:val="00A0443A"/>
    <w:rsid w:val="00A06EEE"/>
    <w:rsid w:val="00A105AD"/>
    <w:rsid w:val="00A24689"/>
    <w:rsid w:val="00A47E6D"/>
    <w:rsid w:val="00A53AD8"/>
    <w:rsid w:val="00A71419"/>
    <w:rsid w:val="00A92847"/>
    <w:rsid w:val="00AB085C"/>
    <w:rsid w:val="00AB0AEF"/>
    <w:rsid w:val="00AB1CE1"/>
    <w:rsid w:val="00AB4CFC"/>
    <w:rsid w:val="00AC26BA"/>
    <w:rsid w:val="00AD68BE"/>
    <w:rsid w:val="00AE1B06"/>
    <w:rsid w:val="00AE46D9"/>
    <w:rsid w:val="00AE7501"/>
    <w:rsid w:val="00AF309F"/>
    <w:rsid w:val="00B036B4"/>
    <w:rsid w:val="00B21B20"/>
    <w:rsid w:val="00B31ADE"/>
    <w:rsid w:val="00B32298"/>
    <w:rsid w:val="00B442DC"/>
    <w:rsid w:val="00B47ADF"/>
    <w:rsid w:val="00B5097D"/>
    <w:rsid w:val="00B60147"/>
    <w:rsid w:val="00B67381"/>
    <w:rsid w:val="00B7659D"/>
    <w:rsid w:val="00B86456"/>
    <w:rsid w:val="00BA0051"/>
    <w:rsid w:val="00BA0EB6"/>
    <w:rsid w:val="00BB2962"/>
    <w:rsid w:val="00BB31EE"/>
    <w:rsid w:val="00BB3DF6"/>
    <w:rsid w:val="00BB4845"/>
    <w:rsid w:val="00BB5FE4"/>
    <w:rsid w:val="00BB6AE6"/>
    <w:rsid w:val="00BC34DF"/>
    <w:rsid w:val="00BC5EE1"/>
    <w:rsid w:val="00BC63DE"/>
    <w:rsid w:val="00BE7A14"/>
    <w:rsid w:val="00C036BF"/>
    <w:rsid w:val="00C20BA1"/>
    <w:rsid w:val="00C25DF9"/>
    <w:rsid w:val="00C31972"/>
    <w:rsid w:val="00C4159E"/>
    <w:rsid w:val="00C42352"/>
    <w:rsid w:val="00C65106"/>
    <w:rsid w:val="00C665A2"/>
    <w:rsid w:val="00C672EF"/>
    <w:rsid w:val="00C75633"/>
    <w:rsid w:val="00C843D5"/>
    <w:rsid w:val="00C85125"/>
    <w:rsid w:val="00C86638"/>
    <w:rsid w:val="00C9434F"/>
    <w:rsid w:val="00C967C8"/>
    <w:rsid w:val="00CA0746"/>
    <w:rsid w:val="00CA0DD4"/>
    <w:rsid w:val="00CA3715"/>
    <w:rsid w:val="00CB04CB"/>
    <w:rsid w:val="00CB7D6E"/>
    <w:rsid w:val="00CB7F2F"/>
    <w:rsid w:val="00CC0FD0"/>
    <w:rsid w:val="00CD3E39"/>
    <w:rsid w:val="00CD5FDB"/>
    <w:rsid w:val="00D36BEF"/>
    <w:rsid w:val="00D42AEC"/>
    <w:rsid w:val="00D723A0"/>
    <w:rsid w:val="00D829C5"/>
    <w:rsid w:val="00D92EB5"/>
    <w:rsid w:val="00DA5B9F"/>
    <w:rsid w:val="00DB0C99"/>
    <w:rsid w:val="00DB2B09"/>
    <w:rsid w:val="00DC3B96"/>
    <w:rsid w:val="00DD113C"/>
    <w:rsid w:val="00DD33AD"/>
    <w:rsid w:val="00DD6713"/>
    <w:rsid w:val="00DF30F0"/>
    <w:rsid w:val="00E01A56"/>
    <w:rsid w:val="00E163D6"/>
    <w:rsid w:val="00E2375B"/>
    <w:rsid w:val="00E2633C"/>
    <w:rsid w:val="00E27D3F"/>
    <w:rsid w:val="00E41EF8"/>
    <w:rsid w:val="00E45C6F"/>
    <w:rsid w:val="00E54371"/>
    <w:rsid w:val="00E709AC"/>
    <w:rsid w:val="00E7129A"/>
    <w:rsid w:val="00E718AE"/>
    <w:rsid w:val="00E73616"/>
    <w:rsid w:val="00E76A5F"/>
    <w:rsid w:val="00E97829"/>
    <w:rsid w:val="00EA097B"/>
    <w:rsid w:val="00EC7656"/>
    <w:rsid w:val="00ED6F40"/>
    <w:rsid w:val="00EE184C"/>
    <w:rsid w:val="00EF3F25"/>
    <w:rsid w:val="00EF7030"/>
    <w:rsid w:val="00F02352"/>
    <w:rsid w:val="00F02D6A"/>
    <w:rsid w:val="00F06CF5"/>
    <w:rsid w:val="00F22AF8"/>
    <w:rsid w:val="00F35DE7"/>
    <w:rsid w:val="00F367AE"/>
    <w:rsid w:val="00F520DF"/>
    <w:rsid w:val="00F53487"/>
    <w:rsid w:val="00F565AD"/>
    <w:rsid w:val="00F6105C"/>
    <w:rsid w:val="00F61669"/>
    <w:rsid w:val="00F67124"/>
    <w:rsid w:val="00F67D43"/>
    <w:rsid w:val="00F723B1"/>
    <w:rsid w:val="00F8194B"/>
    <w:rsid w:val="00F85A56"/>
    <w:rsid w:val="00F941AA"/>
    <w:rsid w:val="00FA06E4"/>
    <w:rsid w:val="00FA2E78"/>
    <w:rsid w:val="00FB23CA"/>
    <w:rsid w:val="00FB7491"/>
    <w:rsid w:val="00FC2D86"/>
    <w:rsid w:val="00FC3C6E"/>
    <w:rsid w:val="00FD3FB0"/>
    <w:rsid w:val="00FD6FD4"/>
    <w:rsid w:val="00FF5384"/>
    <w:rsid w:val="0106EF71"/>
    <w:rsid w:val="012AB268"/>
    <w:rsid w:val="01421A70"/>
    <w:rsid w:val="01AB66FD"/>
    <w:rsid w:val="01C44D4D"/>
    <w:rsid w:val="040F8075"/>
    <w:rsid w:val="054AD99C"/>
    <w:rsid w:val="07A9568E"/>
    <w:rsid w:val="0826BCB3"/>
    <w:rsid w:val="0C499799"/>
    <w:rsid w:val="0CCC276C"/>
    <w:rsid w:val="0D8923DF"/>
    <w:rsid w:val="0E402E7F"/>
    <w:rsid w:val="0FE14BE7"/>
    <w:rsid w:val="11F4DBAE"/>
    <w:rsid w:val="15A38E64"/>
    <w:rsid w:val="16F3A92D"/>
    <w:rsid w:val="18599F7E"/>
    <w:rsid w:val="18E79734"/>
    <w:rsid w:val="19FD5852"/>
    <w:rsid w:val="1AB62D57"/>
    <w:rsid w:val="1B09BC08"/>
    <w:rsid w:val="1C4646D6"/>
    <w:rsid w:val="1C7114A7"/>
    <w:rsid w:val="1F5B5D17"/>
    <w:rsid w:val="2319EB8E"/>
    <w:rsid w:val="23B88F3E"/>
    <w:rsid w:val="27BF1373"/>
    <w:rsid w:val="29F2977A"/>
    <w:rsid w:val="2C066C5F"/>
    <w:rsid w:val="2F0AD5D9"/>
    <w:rsid w:val="2F5595F3"/>
    <w:rsid w:val="31785ABB"/>
    <w:rsid w:val="33108186"/>
    <w:rsid w:val="35F95A86"/>
    <w:rsid w:val="361E8AA5"/>
    <w:rsid w:val="38B4B62F"/>
    <w:rsid w:val="39DE0D59"/>
    <w:rsid w:val="3BE329A8"/>
    <w:rsid w:val="3BFE0C15"/>
    <w:rsid w:val="3CC0D7B3"/>
    <w:rsid w:val="3CE3C724"/>
    <w:rsid w:val="3D1D64F1"/>
    <w:rsid w:val="3EE8DF7E"/>
    <w:rsid w:val="407E20DD"/>
    <w:rsid w:val="4356B1B0"/>
    <w:rsid w:val="43C0E937"/>
    <w:rsid w:val="45AD4945"/>
    <w:rsid w:val="49C08A8B"/>
    <w:rsid w:val="4BF8EFA9"/>
    <w:rsid w:val="4C6C04BF"/>
    <w:rsid w:val="4C77A487"/>
    <w:rsid w:val="4E4E24A9"/>
    <w:rsid w:val="4E9C81C0"/>
    <w:rsid w:val="4EE9E1B8"/>
    <w:rsid w:val="4F232A52"/>
    <w:rsid w:val="506E3A8A"/>
    <w:rsid w:val="50796B23"/>
    <w:rsid w:val="513E684D"/>
    <w:rsid w:val="524A5C7C"/>
    <w:rsid w:val="52E94144"/>
    <w:rsid w:val="53576C47"/>
    <w:rsid w:val="5439009F"/>
    <w:rsid w:val="5479EB5D"/>
    <w:rsid w:val="54C7FBF9"/>
    <w:rsid w:val="56D45BAE"/>
    <w:rsid w:val="5703181B"/>
    <w:rsid w:val="59DAB36F"/>
    <w:rsid w:val="5C907BFB"/>
    <w:rsid w:val="5D930B9B"/>
    <w:rsid w:val="5DADF65B"/>
    <w:rsid w:val="5DFA61D6"/>
    <w:rsid w:val="5E4BD5CB"/>
    <w:rsid w:val="6036E1BE"/>
    <w:rsid w:val="61E178BF"/>
    <w:rsid w:val="61E49963"/>
    <w:rsid w:val="6230CD7B"/>
    <w:rsid w:val="625DDD85"/>
    <w:rsid w:val="636BEC33"/>
    <w:rsid w:val="636DF68C"/>
    <w:rsid w:val="65042537"/>
    <w:rsid w:val="66F19BB4"/>
    <w:rsid w:val="675B9FC2"/>
    <w:rsid w:val="6C07C167"/>
    <w:rsid w:val="6F8D6A31"/>
    <w:rsid w:val="71BFC4DF"/>
    <w:rsid w:val="73592E8F"/>
    <w:rsid w:val="7465A88F"/>
    <w:rsid w:val="751B87A1"/>
    <w:rsid w:val="753E99A8"/>
    <w:rsid w:val="757EB9A6"/>
    <w:rsid w:val="773114FA"/>
    <w:rsid w:val="77320706"/>
    <w:rsid w:val="7A4AFBD5"/>
    <w:rsid w:val="7AFB1B19"/>
    <w:rsid w:val="7D2C31B2"/>
    <w:rsid w:val="7E014F45"/>
    <w:rsid w:val="7EB172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36D42"/>
  <w15:chartTrackingRefBased/>
  <w15:docId w15:val="{F169BF84-8451-40D9-B8A5-7E8431B9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93C"/>
    <w:rPr>
      <w:rFonts w:ascii="Open Sans" w:eastAsia="Times New Roman" w:hAnsi="Open Sans" w:cs="Open Sans"/>
      <w:lang w:eastAsia="en-GB"/>
    </w:rPr>
  </w:style>
  <w:style w:type="paragraph" w:styleId="Heading1">
    <w:name w:val="heading 1"/>
    <w:basedOn w:val="Normal"/>
    <w:next w:val="Normal"/>
    <w:link w:val="Heading1Char"/>
    <w:uiPriority w:val="9"/>
    <w:qFormat/>
    <w:rsid w:val="009707EA"/>
    <w:pPr>
      <w:keepNext/>
      <w:keepLines/>
      <w:spacing w:before="240" w:after="240"/>
      <w:outlineLvl w:val="0"/>
    </w:pPr>
    <w:rPr>
      <w:color w:val="2F5496" w:themeColor="accent1" w:themeShade="BF"/>
      <w:sz w:val="32"/>
      <w:szCs w:val="32"/>
    </w:rPr>
  </w:style>
  <w:style w:type="paragraph" w:styleId="Heading2">
    <w:name w:val="heading 2"/>
    <w:basedOn w:val="Normal"/>
    <w:next w:val="Normal"/>
    <w:link w:val="Heading2Char"/>
    <w:uiPriority w:val="9"/>
    <w:unhideWhenUsed/>
    <w:qFormat/>
    <w:rsid w:val="00D42AEC"/>
    <w:pPr>
      <w:keepNext/>
      <w:keepLines/>
      <w:spacing w:before="120" w:after="120"/>
      <w:outlineLvl w:val="1"/>
    </w:pPr>
    <w:rPr>
      <w:color w:val="2F5496" w:themeColor="accent1" w:themeShade="BF"/>
      <w:sz w:val="26"/>
      <w:szCs w:val="26"/>
    </w:rPr>
  </w:style>
  <w:style w:type="paragraph" w:styleId="Heading3">
    <w:name w:val="heading 3"/>
    <w:basedOn w:val="Normal"/>
    <w:next w:val="Normal"/>
    <w:link w:val="Heading3Char"/>
    <w:uiPriority w:val="9"/>
    <w:unhideWhenUsed/>
    <w:qFormat/>
    <w:rsid w:val="00C20BA1"/>
    <w:pPr>
      <w:keepNext/>
      <w:keepLines/>
      <w:spacing w:before="120" w:after="120"/>
      <w:outlineLvl w:val="2"/>
    </w:pPr>
    <w:rPr>
      <w:rFonts w:eastAsiaTheme="majorEastAsia"/>
      <w:color w:val="1F3763" w:themeColor="accent1" w:themeShade="7F"/>
    </w:rPr>
  </w:style>
  <w:style w:type="paragraph" w:styleId="Heading4">
    <w:name w:val="heading 4"/>
    <w:basedOn w:val="Normal"/>
    <w:next w:val="Normal"/>
    <w:link w:val="Heading4Char"/>
    <w:uiPriority w:val="9"/>
    <w:unhideWhenUsed/>
    <w:qFormat/>
    <w:rsid w:val="003545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9CE"/>
    <w:rPr>
      <w:color w:val="0000FF"/>
      <w:u w:val="single"/>
    </w:rPr>
  </w:style>
  <w:style w:type="character" w:styleId="FollowedHyperlink">
    <w:name w:val="FollowedHyperlink"/>
    <w:basedOn w:val="DefaultParagraphFont"/>
    <w:uiPriority w:val="99"/>
    <w:semiHidden/>
    <w:unhideWhenUsed/>
    <w:rsid w:val="005839CE"/>
    <w:rPr>
      <w:color w:val="954F72" w:themeColor="followedHyperlink"/>
      <w:u w:val="single"/>
    </w:rPr>
  </w:style>
  <w:style w:type="paragraph" w:styleId="NormalWeb">
    <w:name w:val="Normal (Web)"/>
    <w:basedOn w:val="Normal"/>
    <w:uiPriority w:val="99"/>
    <w:semiHidden/>
    <w:unhideWhenUsed/>
    <w:rsid w:val="00244D2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44D2C"/>
    <w:rPr>
      <w:b/>
      <w:bCs/>
    </w:rPr>
  </w:style>
  <w:style w:type="paragraph" w:styleId="Title">
    <w:name w:val="Title"/>
    <w:basedOn w:val="Normal"/>
    <w:next w:val="Normal"/>
    <w:link w:val="TitleChar"/>
    <w:uiPriority w:val="10"/>
    <w:qFormat/>
    <w:rsid w:val="00BC34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4D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07EA"/>
    <w:rPr>
      <w:rFonts w:ascii="Open Sans" w:eastAsia="Times New Roman" w:hAnsi="Open Sans" w:cs="Open Sans"/>
      <w:color w:val="2F5496" w:themeColor="accent1" w:themeShade="BF"/>
      <w:sz w:val="32"/>
      <w:szCs w:val="32"/>
      <w:lang w:eastAsia="en-GB"/>
    </w:rPr>
  </w:style>
  <w:style w:type="paragraph" w:styleId="ListParagraph">
    <w:name w:val="List Paragraph"/>
    <w:basedOn w:val="Normal"/>
    <w:uiPriority w:val="34"/>
    <w:qFormat/>
    <w:rsid w:val="00BC34DF"/>
    <w:pPr>
      <w:ind w:left="720"/>
      <w:contextualSpacing/>
    </w:pPr>
  </w:style>
  <w:style w:type="paragraph" w:styleId="Revision">
    <w:name w:val="Revision"/>
    <w:hidden/>
    <w:uiPriority w:val="99"/>
    <w:semiHidden/>
    <w:rsid w:val="00B67381"/>
    <w:pPr>
      <w:spacing w:after="0" w:line="240" w:lineRule="auto"/>
    </w:pPr>
  </w:style>
  <w:style w:type="character" w:customStyle="1" w:styleId="Heading2Char">
    <w:name w:val="Heading 2 Char"/>
    <w:basedOn w:val="DefaultParagraphFont"/>
    <w:link w:val="Heading2"/>
    <w:uiPriority w:val="9"/>
    <w:rsid w:val="00D42AEC"/>
    <w:rPr>
      <w:rFonts w:ascii="Open Sans" w:eastAsia="Times New Roman" w:hAnsi="Open Sans" w:cs="Open Sans"/>
      <w:color w:val="2F5496" w:themeColor="accent1" w:themeShade="BF"/>
      <w:sz w:val="26"/>
      <w:szCs w:val="26"/>
      <w:lang w:eastAsia="en-GB"/>
    </w:rPr>
  </w:style>
  <w:style w:type="character" w:styleId="UnresolvedMention">
    <w:name w:val="Unresolved Mention"/>
    <w:basedOn w:val="DefaultParagraphFont"/>
    <w:uiPriority w:val="99"/>
    <w:semiHidden/>
    <w:unhideWhenUsed/>
    <w:rsid w:val="00757917"/>
    <w:rPr>
      <w:color w:val="605E5C"/>
      <w:shd w:val="clear" w:color="auto" w:fill="E1DFDD"/>
    </w:rPr>
  </w:style>
  <w:style w:type="character" w:styleId="CommentReference">
    <w:name w:val="annotation reference"/>
    <w:basedOn w:val="DefaultParagraphFont"/>
    <w:uiPriority w:val="99"/>
    <w:semiHidden/>
    <w:unhideWhenUsed/>
    <w:rsid w:val="00B21B20"/>
    <w:rPr>
      <w:sz w:val="16"/>
      <w:szCs w:val="16"/>
    </w:rPr>
  </w:style>
  <w:style w:type="paragraph" w:styleId="CommentText">
    <w:name w:val="annotation text"/>
    <w:basedOn w:val="Normal"/>
    <w:link w:val="CommentTextChar"/>
    <w:uiPriority w:val="99"/>
    <w:unhideWhenUsed/>
    <w:rsid w:val="00B21B20"/>
    <w:pPr>
      <w:spacing w:line="240" w:lineRule="auto"/>
    </w:pPr>
    <w:rPr>
      <w:sz w:val="20"/>
      <w:szCs w:val="20"/>
    </w:rPr>
  </w:style>
  <w:style w:type="character" w:customStyle="1" w:styleId="CommentTextChar">
    <w:name w:val="Comment Text Char"/>
    <w:basedOn w:val="DefaultParagraphFont"/>
    <w:link w:val="CommentText"/>
    <w:uiPriority w:val="99"/>
    <w:rsid w:val="00B21B20"/>
    <w:rPr>
      <w:sz w:val="20"/>
      <w:szCs w:val="20"/>
    </w:rPr>
  </w:style>
  <w:style w:type="paragraph" w:styleId="CommentSubject">
    <w:name w:val="annotation subject"/>
    <w:basedOn w:val="CommentText"/>
    <w:next w:val="CommentText"/>
    <w:link w:val="CommentSubjectChar"/>
    <w:uiPriority w:val="99"/>
    <w:semiHidden/>
    <w:unhideWhenUsed/>
    <w:rsid w:val="00B21B20"/>
    <w:rPr>
      <w:b/>
      <w:bCs/>
    </w:rPr>
  </w:style>
  <w:style w:type="character" w:customStyle="1" w:styleId="CommentSubjectChar">
    <w:name w:val="Comment Subject Char"/>
    <w:basedOn w:val="CommentTextChar"/>
    <w:link w:val="CommentSubject"/>
    <w:uiPriority w:val="99"/>
    <w:semiHidden/>
    <w:rsid w:val="00B21B20"/>
    <w:rPr>
      <w:b/>
      <w:bCs/>
      <w:sz w:val="20"/>
      <w:szCs w:val="20"/>
    </w:rPr>
  </w:style>
  <w:style w:type="paragraph" w:styleId="Header">
    <w:name w:val="header"/>
    <w:basedOn w:val="Normal"/>
    <w:uiPriority w:val="99"/>
    <w:unhideWhenUsed/>
    <w:rsid w:val="0CCC276C"/>
    <w:pPr>
      <w:tabs>
        <w:tab w:val="center" w:pos="4680"/>
        <w:tab w:val="right" w:pos="9360"/>
      </w:tabs>
      <w:spacing w:after="0" w:line="240" w:lineRule="auto"/>
    </w:pPr>
  </w:style>
  <w:style w:type="paragraph" w:styleId="Footer">
    <w:name w:val="footer"/>
    <w:basedOn w:val="Normal"/>
    <w:uiPriority w:val="99"/>
    <w:unhideWhenUsed/>
    <w:rsid w:val="0CCC276C"/>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E2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0E2"/>
    <w:rPr>
      <w:rFonts w:ascii="Segoe UI" w:hAnsi="Segoe UI" w:cs="Segoe UI"/>
      <w:sz w:val="18"/>
      <w:szCs w:val="18"/>
    </w:rPr>
  </w:style>
  <w:style w:type="paragraph" w:customStyle="1" w:styleId="paragraph">
    <w:name w:val="paragraph"/>
    <w:basedOn w:val="Normal"/>
    <w:rsid w:val="00F565AD"/>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F565AD"/>
  </w:style>
  <w:style w:type="character" w:customStyle="1" w:styleId="eop">
    <w:name w:val="eop"/>
    <w:basedOn w:val="DefaultParagraphFont"/>
    <w:rsid w:val="00F565AD"/>
  </w:style>
  <w:style w:type="character" w:customStyle="1" w:styleId="Heading3Char">
    <w:name w:val="Heading 3 Char"/>
    <w:basedOn w:val="DefaultParagraphFont"/>
    <w:link w:val="Heading3"/>
    <w:uiPriority w:val="9"/>
    <w:rsid w:val="00C20BA1"/>
    <w:rPr>
      <w:rFonts w:ascii="Open Sans" w:eastAsiaTheme="majorEastAsia" w:hAnsi="Open Sans" w:cs="Open Sans"/>
      <w:color w:val="1F3763" w:themeColor="accent1" w:themeShade="7F"/>
    </w:rPr>
  </w:style>
  <w:style w:type="character" w:customStyle="1" w:styleId="Heading4Char">
    <w:name w:val="Heading 4 Char"/>
    <w:basedOn w:val="DefaultParagraphFont"/>
    <w:link w:val="Heading4"/>
    <w:uiPriority w:val="9"/>
    <w:rsid w:val="003545D7"/>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3545D7"/>
    <w:pPr>
      <w:widowControl w:val="0"/>
      <w:autoSpaceDE w:val="0"/>
      <w:autoSpaceDN w:val="0"/>
      <w:spacing w:after="0" w:line="240" w:lineRule="auto"/>
    </w:pPr>
    <w:rPr>
      <w:rFonts w:eastAsia="Open Sans"/>
      <w:sz w:val="20"/>
      <w:szCs w:val="20"/>
    </w:rPr>
  </w:style>
  <w:style w:type="character" w:customStyle="1" w:styleId="BodyTextChar">
    <w:name w:val="Body Text Char"/>
    <w:basedOn w:val="DefaultParagraphFont"/>
    <w:link w:val="BodyText"/>
    <w:uiPriority w:val="1"/>
    <w:rsid w:val="003545D7"/>
    <w:rPr>
      <w:rFonts w:ascii="Open Sans" w:eastAsia="Open Sans" w:hAnsi="Open Sans" w:cs="Open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4319">
      <w:bodyDiv w:val="1"/>
      <w:marLeft w:val="0"/>
      <w:marRight w:val="0"/>
      <w:marTop w:val="0"/>
      <w:marBottom w:val="0"/>
      <w:divBdr>
        <w:top w:val="none" w:sz="0" w:space="0" w:color="auto"/>
        <w:left w:val="none" w:sz="0" w:space="0" w:color="auto"/>
        <w:bottom w:val="none" w:sz="0" w:space="0" w:color="auto"/>
        <w:right w:val="none" w:sz="0" w:space="0" w:color="auto"/>
      </w:divBdr>
    </w:div>
    <w:div w:id="317418838">
      <w:bodyDiv w:val="1"/>
      <w:marLeft w:val="0"/>
      <w:marRight w:val="0"/>
      <w:marTop w:val="0"/>
      <w:marBottom w:val="0"/>
      <w:divBdr>
        <w:top w:val="none" w:sz="0" w:space="0" w:color="auto"/>
        <w:left w:val="none" w:sz="0" w:space="0" w:color="auto"/>
        <w:bottom w:val="none" w:sz="0" w:space="0" w:color="auto"/>
        <w:right w:val="none" w:sz="0" w:space="0" w:color="auto"/>
      </w:divBdr>
      <w:divsChild>
        <w:div w:id="14163222">
          <w:marLeft w:val="0"/>
          <w:marRight w:val="0"/>
          <w:marTop w:val="0"/>
          <w:marBottom w:val="0"/>
          <w:divBdr>
            <w:top w:val="none" w:sz="0" w:space="0" w:color="auto"/>
            <w:left w:val="none" w:sz="0" w:space="0" w:color="auto"/>
            <w:bottom w:val="none" w:sz="0" w:space="0" w:color="auto"/>
            <w:right w:val="none" w:sz="0" w:space="0" w:color="auto"/>
          </w:divBdr>
        </w:div>
        <w:div w:id="173228385">
          <w:marLeft w:val="0"/>
          <w:marRight w:val="0"/>
          <w:marTop w:val="0"/>
          <w:marBottom w:val="0"/>
          <w:divBdr>
            <w:top w:val="none" w:sz="0" w:space="0" w:color="auto"/>
            <w:left w:val="none" w:sz="0" w:space="0" w:color="auto"/>
            <w:bottom w:val="none" w:sz="0" w:space="0" w:color="auto"/>
            <w:right w:val="none" w:sz="0" w:space="0" w:color="auto"/>
          </w:divBdr>
        </w:div>
        <w:div w:id="221911085">
          <w:marLeft w:val="0"/>
          <w:marRight w:val="0"/>
          <w:marTop w:val="0"/>
          <w:marBottom w:val="0"/>
          <w:divBdr>
            <w:top w:val="none" w:sz="0" w:space="0" w:color="auto"/>
            <w:left w:val="none" w:sz="0" w:space="0" w:color="auto"/>
            <w:bottom w:val="none" w:sz="0" w:space="0" w:color="auto"/>
            <w:right w:val="none" w:sz="0" w:space="0" w:color="auto"/>
          </w:divBdr>
        </w:div>
        <w:div w:id="507988677">
          <w:marLeft w:val="0"/>
          <w:marRight w:val="0"/>
          <w:marTop w:val="0"/>
          <w:marBottom w:val="0"/>
          <w:divBdr>
            <w:top w:val="none" w:sz="0" w:space="0" w:color="auto"/>
            <w:left w:val="none" w:sz="0" w:space="0" w:color="auto"/>
            <w:bottom w:val="none" w:sz="0" w:space="0" w:color="auto"/>
            <w:right w:val="none" w:sz="0" w:space="0" w:color="auto"/>
          </w:divBdr>
        </w:div>
        <w:div w:id="1164592307">
          <w:marLeft w:val="0"/>
          <w:marRight w:val="0"/>
          <w:marTop w:val="0"/>
          <w:marBottom w:val="0"/>
          <w:divBdr>
            <w:top w:val="none" w:sz="0" w:space="0" w:color="auto"/>
            <w:left w:val="none" w:sz="0" w:space="0" w:color="auto"/>
            <w:bottom w:val="none" w:sz="0" w:space="0" w:color="auto"/>
            <w:right w:val="none" w:sz="0" w:space="0" w:color="auto"/>
          </w:divBdr>
        </w:div>
        <w:div w:id="1403596900">
          <w:marLeft w:val="0"/>
          <w:marRight w:val="0"/>
          <w:marTop w:val="0"/>
          <w:marBottom w:val="0"/>
          <w:divBdr>
            <w:top w:val="none" w:sz="0" w:space="0" w:color="auto"/>
            <w:left w:val="none" w:sz="0" w:space="0" w:color="auto"/>
            <w:bottom w:val="none" w:sz="0" w:space="0" w:color="auto"/>
            <w:right w:val="none" w:sz="0" w:space="0" w:color="auto"/>
          </w:divBdr>
        </w:div>
      </w:divsChild>
    </w:div>
    <w:div w:id="329480831">
      <w:bodyDiv w:val="1"/>
      <w:marLeft w:val="0"/>
      <w:marRight w:val="0"/>
      <w:marTop w:val="0"/>
      <w:marBottom w:val="0"/>
      <w:divBdr>
        <w:top w:val="none" w:sz="0" w:space="0" w:color="auto"/>
        <w:left w:val="none" w:sz="0" w:space="0" w:color="auto"/>
        <w:bottom w:val="none" w:sz="0" w:space="0" w:color="auto"/>
        <w:right w:val="none" w:sz="0" w:space="0" w:color="auto"/>
      </w:divBdr>
    </w:div>
    <w:div w:id="898631179">
      <w:bodyDiv w:val="1"/>
      <w:marLeft w:val="0"/>
      <w:marRight w:val="0"/>
      <w:marTop w:val="0"/>
      <w:marBottom w:val="0"/>
      <w:divBdr>
        <w:top w:val="none" w:sz="0" w:space="0" w:color="auto"/>
        <w:left w:val="none" w:sz="0" w:space="0" w:color="auto"/>
        <w:bottom w:val="none" w:sz="0" w:space="0" w:color="auto"/>
        <w:right w:val="none" w:sz="0" w:space="0" w:color="auto"/>
      </w:divBdr>
    </w:div>
    <w:div w:id="948127720">
      <w:bodyDiv w:val="1"/>
      <w:marLeft w:val="0"/>
      <w:marRight w:val="0"/>
      <w:marTop w:val="0"/>
      <w:marBottom w:val="0"/>
      <w:divBdr>
        <w:top w:val="none" w:sz="0" w:space="0" w:color="auto"/>
        <w:left w:val="none" w:sz="0" w:space="0" w:color="auto"/>
        <w:bottom w:val="none" w:sz="0" w:space="0" w:color="auto"/>
        <w:right w:val="none" w:sz="0" w:space="0" w:color="auto"/>
      </w:divBdr>
    </w:div>
    <w:div w:id="1504858272">
      <w:bodyDiv w:val="1"/>
      <w:marLeft w:val="0"/>
      <w:marRight w:val="0"/>
      <w:marTop w:val="0"/>
      <w:marBottom w:val="0"/>
      <w:divBdr>
        <w:top w:val="none" w:sz="0" w:space="0" w:color="auto"/>
        <w:left w:val="none" w:sz="0" w:space="0" w:color="auto"/>
        <w:bottom w:val="none" w:sz="0" w:space="0" w:color="auto"/>
        <w:right w:val="none" w:sz="0" w:space="0" w:color="auto"/>
      </w:divBdr>
    </w:div>
    <w:div w:id="1639727075">
      <w:bodyDiv w:val="1"/>
      <w:marLeft w:val="0"/>
      <w:marRight w:val="0"/>
      <w:marTop w:val="0"/>
      <w:marBottom w:val="0"/>
      <w:divBdr>
        <w:top w:val="none" w:sz="0" w:space="0" w:color="auto"/>
        <w:left w:val="none" w:sz="0" w:space="0" w:color="auto"/>
        <w:bottom w:val="none" w:sz="0" w:space="0" w:color="auto"/>
        <w:right w:val="none" w:sz="0" w:space="0" w:color="auto"/>
      </w:divBdr>
    </w:div>
    <w:div w:id="168802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cslt.org/members/clinical-guidance/bilingualism/" TargetMode="External"/><Relationship Id="rId18" Type="http://schemas.openxmlformats.org/officeDocument/2006/relationships/hyperlink" Target="https://www.rcslt.org/wp-content/uploads/media/Project/RCSLT/7Working-with-interpreterschecklist.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rcslt.org/help-and-support/contact-us" TargetMode="External"/><Relationship Id="rId7" Type="http://schemas.openxmlformats.org/officeDocument/2006/relationships/webSettings" Target="webSettings.xml"/><Relationship Id="rId12" Type="http://schemas.openxmlformats.org/officeDocument/2006/relationships/hyperlink" Target="https://www.unicef.org.uk/wp-content/uploads/2010/05/UNCRC_united_nations_convention_on_the_rights_of_the_child.pdf" TargetMode="External"/><Relationship Id="rId17" Type="http://schemas.openxmlformats.org/officeDocument/2006/relationships/hyperlink" Target="https://www.rcslt.org/wp-content/uploads/media/Project/RCSLT/6-working-with-interpreters.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cslt.org/wp-content/uploads/2023/11/Working-with-interpreters_PDF-Feb-24.pdf" TargetMode="External"/><Relationship Id="rId20" Type="http://schemas.openxmlformats.org/officeDocument/2006/relationships/hyperlink" Target="https://www.legislation.gov.uk/ukpga/2010/15/cont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0/15/content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sltip.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elizabeth.brookfield@rcslt.org" TargetMode="External"/><Relationship Id="rId19" Type="http://schemas.openxmlformats.org/officeDocument/2006/relationships/hyperlink" Target="https://www.rcslt.org/wp-content/uploads/media/Bilingualism-CEN_Telehealth-Interpreters-Guidelin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cslt.org/wp-content/uploads/media/Project/RCSLT/7Working-with-interpreterschecklist.pdf"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SharedWithUsers xmlns="e1e76a81-16a8-40f3-82d7-6fd0426f2a0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112E8-409D-490B-99B7-517354C91BFB}">
  <ds:schemaRefs>
    <ds:schemaRef ds:uri="http://schemas.microsoft.com/sharepoint/v3/contenttype/forms"/>
  </ds:schemaRefs>
</ds:datastoreItem>
</file>

<file path=customXml/itemProps2.xml><?xml version="1.0" encoding="utf-8"?>
<ds:datastoreItem xmlns:ds="http://schemas.openxmlformats.org/officeDocument/2006/customXml" ds:itemID="{C4E656A4-BB05-46D1-84C4-DB990CF135B3}">
  <ds:schemaRefs>
    <ds:schemaRef ds:uri="http://schemas.microsoft.com/office/2006/metadata/properties"/>
    <ds:schemaRef ds:uri="http://schemas.microsoft.com/office/infopath/2007/PartnerControls"/>
    <ds:schemaRef ds:uri="2742bbb5-d832-4556-9006-8a246a5838e7"/>
    <ds:schemaRef ds:uri="752d7865-7f80-4b4d-9f7e-5617889a551d"/>
    <ds:schemaRef ds:uri="e1e76a81-16a8-40f3-82d7-6fd0426f2a09"/>
  </ds:schemaRefs>
</ds:datastoreItem>
</file>

<file path=customXml/itemProps3.xml><?xml version="1.0" encoding="utf-8"?>
<ds:datastoreItem xmlns:ds="http://schemas.openxmlformats.org/officeDocument/2006/customXml" ds:itemID="{C889FB4E-5A38-4CD2-B287-5BF1FBF53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2454</Words>
  <Characters>13994</Characters>
  <Application>Microsoft Office Word</Application>
  <DocSecurity>2</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16416</CharactersWithSpaces>
  <SharedDoc>false</SharedDoc>
  <HLinks>
    <vt:vector size="78" baseType="variant">
      <vt:variant>
        <vt:i4>5308506</vt:i4>
      </vt:variant>
      <vt:variant>
        <vt:i4>36</vt:i4>
      </vt:variant>
      <vt:variant>
        <vt:i4>0</vt:i4>
      </vt:variant>
      <vt:variant>
        <vt:i4>5</vt:i4>
      </vt:variant>
      <vt:variant>
        <vt:lpwstr>https://www.rcslt.org/help-and-support/contact-us</vt:lpwstr>
      </vt:variant>
      <vt:variant>
        <vt:lpwstr/>
      </vt:variant>
      <vt:variant>
        <vt:i4>5636189</vt:i4>
      </vt:variant>
      <vt:variant>
        <vt:i4>33</vt:i4>
      </vt:variant>
      <vt:variant>
        <vt:i4>0</vt:i4>
      </vt:variant>
      <vt:variant>
        <vt:i4>5</vt:i4>
      </vt:variant>
      <vt:variant>
        <vt:lpwstr>https://www.legislation.gov.uk/ukpga/2010/15/contents</vt:lpwstr>
      </vt:variant>
      <vt:variant>
        <vt:lpwstr/>
      </vt:variant>
      <vt:variant>
        <vt:i4>458792</vt:i4>
      </vt:variant>
      <vt:variant>
        <vt:i4>30</vt:i4>
      </vt:variant>
      <vt:variant>
        <vt:i4>0</vt:i4>
      </vt:variant>
      <vt:variant>
        <vt:i4>5</vt:i4>
      </vt:variant>
      <vt:variant>
        <vt:lpwstr>https://www.rcslt.org/wp-content/uploads/media/Bilingualism-CEN_Telehealth-Interpreters-Guidelines.pdf</vt:lpwstr>
      </vt:variant>
      <vt:variant>
        <vt:lpwstr/>
      </vt:variant>
      <vt:variant>
        <vt:i4>4980813</vt:i4>
      </vt:variant>
      <vt:variant>
        <vt:i4>27</vt:i4>
      </vt:variant>
      <vt:variant>
        <vt:i4>0</vt:i4>
      </vt:variant>
      <vt:variant>
        <vt:i4>5</vt:i4>
      </vt:variant>
      <vt:variant>
        <vt:lpwstr>https://www.rcslt.org/wp-content/uploads/media/Project/RCSLT/7Working-with-interpreterschecklist.pdf</vt:lpwstr>
      </vt:variant>
      <vt:variant>
        <vt:lpwstr/>
      </vt:variant>
      <vt:variant>
        <vt:i4>5046276</vt:i4>
      </vt:variant>
      <vt:variant>
        <vt:i4>24</vt:i4>
      </vt:variant>
      <vt:variant>
        <vt:i4>0</vt:i4>
      </vt:variant>
      <vt:variant>
        <vt:i4>5</vt:i4>
      </vt:variant>
      <vt:variant>
        <vt:lpwstr>https://www.rcslt.org/wp-content/uploads/media/Project/RCSLT/6-working-with-interpreters.pdf</vt:lpwstr>
      </vt:variant>
      <vt:variant>
        <vt:lpwstr/>
      </vt:variant>
      <vt:variant>
        <vt:i4>655411</vt:i4>
      </vt:variant>
      <vt:variant>
        <vt:i4>21</vt:i4>
      </vt:variant>
      <vt:variant>
        <vt:i4>0</vt:i4>
      </vt:variant>
      <vt:variant>
        <vt:i4>5</vt:i4>
      </vt:variant>
      <vt:variant>
        <vt:lpwstr>https://www.rcslt.org/wp-content/uploads/2023/11/Working-with-interpreters_PDF-Feb-24.pdf</vt:lpwstr>
      </vt:variant>
      <vt:variant>
        <vt:lpwstr/>
      </vt:variant>
      <vt:variant>
        <vt:i4>4325396</vt:i4>
      </vt:variant>
      <vt:variant>
        <vt:i4>18</vt:i4>
      </vt:variant>
      <vt:variant>
        <vt:i4>0</vt:i4>
      </vt:variant>
      <vt:variant>
        <vt:i4>5</vt:i4>
      </vt:variant>
      <vt:variant>
        <vt:lpwstr>https://www.rcslt.org/members/clinical-guidance/bilingualism/</vt:lpwstr>
      </vt:variant>
      <vt:variant>
        <vt:lpwstr/>
      </vt:variant>
      <vt:variant>
        <vt:i4>6815845</vt:i4>
      </vt:variant>
      <vt:variant>
        <vt:i4>15</vt:i4>
      </vt:variant>
      <vt:variant>
        <vt:i4>0</vt:i4>
      </vt:variant>
      <vt:variant>
        <vt:i4>5</vt:i4>
      </vt:variant>
      <vt:variant>
        <vt:lpwstr>https://asltip.com/</vt:lpwstr>
      </vt:variant>
      <vt:variant>
        <vt:lpwstr/>
      </vt:variant>
      <vt:variant>
        <vt:i4>4980813</vt:i4>
      </vt:variant>
      <vt:variant>
        <vt:i4>12</vt:i4>
      </vt:variant>
      <vt:variant>
        <vt:i4>0</vt:i4>
      </vt:variant>
      <vt:variant>
        <vt:i4>5</vt:i4>
      </vt:variant>
      <vt:variant>
        <vt:lpwstr>https://www.rcslt.org/wp-content/uploads/media/Project/RCSLT/7Working-with-interpreterschecklist.pdf</vt:lpwstr>
      </vt:variant>
      <vt:variant>
        <vt:lpwstr/>
      </vt:variant>
      <vt:variant>
        <vt:i4>4325396</vt:i4>
      </vt:variant>
      <vt:variant>
        <vt:i4>9</vt:i4>
      </vt:variant>
      <vt:variant>
        <vt:i4>0</vt:i4>
      </vt:variant>
      <vt:variant>
        <vt:i4>5</vt:i4>
      </vt:variant>
      <vt:variant>
        <vt:lpwstr>https://www.rcslt.org/members/clinical-guidance/bilingualism/</vt:lpwstr>
      </vt:variant>
      <vt:variant>
        <vt:lpwstr/>
      </vt:variant>
      <vt:variant>
        <vt:i4>2687060</vt:i4>
      </vt:variant>
      <vt:variant>
        <vt:i4>6</vt:i4>
      </vt:variant>
      <vt:variant>
        <vt:i4>0</vt:i4>
      </vt:variant>
      <vt:variant>
        <vt:i4>5</vt:i4>
      </vt:variant>
      <vt:variant>
        <vt:lpwstr>https://www.unicef.org.uk/wp-content/uploads/2010/05/UNCRC_united_nations_convention_on_the_rights_of_the_child.pdf</vt:lpwstr>
      </vt:variant>
      <vt:variant>
        <vt:lpwstr/>
      </vt:variant>
      <vt:variant>
        <vt:i4>5636189</vt:i4>
      </vt:variant>
      <vt:variant>
        <vt:i4>3</vt:i4>
      </vt:variant>
      <vt:variant>
        <vt:i4>0</vt:i4>
      </vt:variant>
      <vt:variant>
        <vt:i4>5</vt:i4>
      </vt:variant>
      <vt:variant>
        <vt:lpwstr>https://www.legislation.gov.uk/ukpga/2010/15/contents</vt:lpwstr>
      </vt:variant>
      <vt:variant>
        <vt:lpwstr/>
      </vt:variant>
      <vt:variant>
        <vt:i4>7471108</vt:i4>
      </vt:variant>
      <vt:variant>
        <vt:i4>0</vt:i4>
      </vt:variant>
      <vt:variant>
        <vt:i4>0</vt:i4>
      </vt:variant>
      <vt:variant>
        <vt:i4>5</vt:i4>
      </vt:variant>
      <vt:variant>
        <vt:lpwstr>mailto:elizabeth.brookfield@rcslt.org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Walker</dc:creator>
  <cp:keywords/>
  <dc:description/>
  <cp:lastModifiedBy>Hannah Lewis</cp:lastModifiedBy>
  <cp:revision>3</cp:revision>
  <dcterms:created xsi:type="dcterms:W3CDTF">2025-06-05T16:42:00Z</dcterms:created>
  <dcterms:modified xsi:type="dcterms:W3CDTF">2025-06-06T11:30:00Z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0x01010015222117E270524587FC756417F85A13</vt:lpwstr>
  </property>
  <property fmtid="{D5CDD505-2E9C-101B-9397-08002B2CF9AE}" pid="4" name="Order">
    <vt:r8>229700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