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E1243" w14:textId="6C4C536F" w:rsidR="0010517A" w:rsidRDefault="001703B9" w:rsidP="0010517A">
      <w:pPr>
        <w:pStyle w:val="Title"/>
      </w:pPr>
      <w:r>
        <w:rPr>
          <w:noProof/>
        </w:rPr>
        <w:drawing>
          <wp:anchor distT="0" distB="0" distL="114300" distR="114300" simplePos="0" relativeHeight="251658243" behindDoc="1" locked="0" layoutInCell="1" allowOverlap="1" wp14:anchorId="575B88DF" wp14:editId="2FF7C403">
            <wp:simplePos x="0" y="0"/>
            <wp:positionH relativeFrom="column">
              <wp:posOffset>2313940</wp:posOffset>
            </wp:positionH>
            <wp:positionV relativeFrom="paragraph">
              <wp:posOffset>-1087120</wp:posOffset>
            </wp:positionV>
            <wp:extent cx="4347845" cy="4488180"/>
            <wp:effectExtent l="0" t="0" r="0" b="0"/>
            <wp:wrapNone/>
            <wp:docPr id="33" name="docsha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ocshape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7845" cy="448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58249" behindDoc="1" locked="0" layoutInCell="1" allowOverlap="1" wp14:anchorId="2D1DC03D" wp14:editId="536B0A10">
            <wp:simplePos x="0" y="0"/>
            <wp:positionH relativeFrom="column">
              <wp:posOffset>-753745</wp:posOffset>
            </wp:positionH>
            <wp:positionV relativeFrom="paragraph">
              <wp:posOffset>-1544195</wp:posOffset>
            </wp:positionV>
            <wp:extent cx="7416165" cy="7778750"/>
            <wp:effectExtent l="0" t="0" r="635" b="6350"/>
            <wp:wrapNone/>
            <wp:docPr id="29"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cshape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6165" cy="7778750"/>
                    </a:xfrm>
                    <a:prstGeom prst="rect">
                      <a:avLst/>
                    </a:prstGeom>
                    <a:noFill/>
                    <a:ln>
                      <a:noFill/>
                    </a:ln>
                  </pic:spPr>
                </pic:pic>
              </a:graphicData>
            </a:graphic>
            <wp14:sizeRelV relativeFrom="margin">
              <wp14:pctHeight>0</wp14:pctHeight>
            </wp14:sizeRelV>
          </wp:anchor>
        </w:drawing>
      </w:r>
      <w:r w:rsidR="0010517A">
        <w:rPr>
          <w:noProof/>
        </w:rPr>
        <mc:AlternateContent>
          <mc:Choice Requires="wps">
            <w:drawing>
              <wp:anchor distT="0" distB="0" distL="114300" distR="114300" simplePos="0" relativeHeight="251658241" behindDoc="1" locked="0" layoutInCell="1" allowOverlap="1" wp14:anchorId="7CEF46A1" wp14:editId="027588B3">
                <wp:simplePos x="0" y="0"/>
                <wp:positionH relativeFrom="page">
                  <wp:posOffset>0</wp:posOffset>
                </wp:positionH>
                <wp:positionV relativeFrom="page">
                  <wp:posOffset>0</wp:posOffset>
                </wp:positionV>
                <wp:extent cx="7560310" cy="1069213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567AD7"/>
                        </a:solidFill>
                        <a:ln>
                          <a:noFill/>
                        </a:ln>
                      </wps:spPr>
                      <wps:txbx>
                        <w:txbxContent>
                          <w:p w14:paraId="015240E7" w14:textId="77777777" w:rsidR="0010517A" w:rsidRPr="00964C06" w:rsidRDefault="0010517A" w:rsidP="0010517A">
                            <w:pPr>
                              <w:rPr>
                                <w:color w:val="1CBFD4"/>
                              </w:rPr>
                            </w:pPr>
                          </w:p>
                          <w:p w14:paraId="4B908C60" w14:textId="77777777" w:rsidR="0010517A" w:rsidRPr="00964C06" w:rsidRDefault="0010517A" w:rsidP="0010517A">
                            <w:pPr>
                              <w:jc w:val="center"/>
                              <w:rPr>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46A1" id="Rectangle 3" o:spid="_x0000_s1026" style="position:absolute;margin-left:0;margin-top:0;width:595.3pt;height:8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" fillcolor="#567ad7" stroked="f">
                <v:textbox>
                  <w:txbxContent>
                    <w:p w14:paraId="015240E7" w14:textId="77777777" w:rsidR="0010517A" w:rsidRPr="00964C06" w:rsidRDefault="0010517A" w:rsidP="0010517A">
                      <w:pPr>
                        <w:rPr>
                          <w:color w:val="1CBFD4"/>
                        </w:rPr>
                      </w:pPr>
                    </w:p>
                    <w:p w14:paraId="4B908C60" w14:textId="77777777" w:rsidR="0010517A" w:rsidRPr="00964C06" w:rsidRDefault="0010517A" w:rsidP="0010517A">
                      <w:pPr>
                        <w:jc w:val="center"/>
                        <w:rPr>
                          <w:color w:val="1CBFD4"/>
                        </w:rPr>
                      </w:pPr>
                    </w:p>
                  </w:txbxContent>
                </v:textbox>
                <w10:wrap anchorx="page" anchory="page"/>
              </v:rect>
            </w:pict>
          </mc:Fallback>
        </mc:AlternateContent>
      </w:r>
      <w:r w:rsidR="00590BEF">
        <w:rPr>
          <w:noProof/>
        </w:rPr>
        <w:softHyphen/>
      </w:r>
      <w:r w:rsidR="00590BEF">
        <w:rPr>
          <w:noProof/>
        </w:rPr>
        <w:softHyphen/>
      </w:r>
    </w:p>
    <w:p w14:paraId="17FF6172" w14:textId="77777777" w:rsidR="0010517A" w:rsidRPr="009D537E" w:rsidRDefault="00403CB1">
      <w:pPr>
        <w:rPr>
          <w:rFonts w:ascii="Open Sans Bold" w:eastAsia="Open Sans" w:hAnsi="Open Sans Bold"/>
          <w:bCs/>
          <w:color w:val="FFFFFF"/>
          <w:sz w:val="76"/>
          <w:szCs w:val="56"/>
          <w:vertAlign w:val="subscript"/>
        </w:rPr>
      </w:pPr>
      <w:r>
        <w:rPr>
          <w:noProof/>
        </w:rPr>
        <w:drawing>
          <wp:anchor distT="0" distB="0" distL="114300" distR="114300" simplePos="0" relativeHeight="251658240" behindDoc="0" locked="0" layoutInCell="1" allowOverlap="1" wp14:anchorId="7209F864" wp14:editId="038B0B78">
            <wp:simplePos x="0" y="0"/>
            <wp:positionH relativeFrom="column">
              <wp:posOffset>-924560</wp:posOffset>
            </wp:positionH>
            <wp:positionV relativeFrom="paragraph">
              <wp:posOffset>3263609</wp:posOffset>
            </wp:positionV>
            <wp:extent cx="4546363" cy="1570926"/>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46363" cy="1570926"/>
                    </a:xfrm>
                    <a:prstGeom prst="rect">
                      <a:avLst/>
                    </a:prstGeom>
                    <a:noFill/>
                    <a:ln>
                      <a:noFill/>
                    </a:ln>
                  </pic:spPr>
                </pic:pic>
              </a:graphicData>
            </a:graphic>
            <wp14:sizeRelH relativeFrom="page">
              <wp14:pctWidth>0</wp14:pctWidth>
            </wp14:sizeRelH>
            <wp14:sizeRelV relativeFrom="page">
              <wp14:pctHeight>0</wp14:pctHeight>
            </wp14:sizeRelV>
          </wp:anchor>
        </w:drawing>
      </w:r>
      <w:r w:rsidR="00167CFF">
        <w:rPr>
          <w:noProof/>
        </w:rPr>
        <mc:AlternateContent>
          <mc:Choice Requires="wps">
            <w:drawing>
              <wp:anchor distT="0" distB="0" distL="114300" distR="114300" simplePos="0" relativeHeight="251658242" behindDoc="0" locked="0" layoutInCell="1" allowOverlap="1" wp14:anchorId="0843BDA9" wp14:editId="29CF9F50">
                <wp:simplePos x="0" y="0"/>
                <wp:positionH relativeFrom="column">
                  <wp:posOffset>-567055</wp:posOffset>
                </wp:positionH>
                <wp:positionV relativeFrom="paragraph">
                  <wp:posOffset>5016500</wp:posOffset>
                </wp:positionV>
                <wp:extent cx="6791325" cy="2676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6791325" cy="2676525"/>
                        </a:xfrm>
                        <a:prstGeom prst="rect">
                          <a:avLst/>
                        </a:prstGeom>
                        <a:noFill/>
                        <a:ln w="6350">
                          <a:noFill/>
                        </a:ln>
                      </wps:spPr>
                      <wps:txbx>
                        <w:txbxContent>
                          <w:p w14:paraId="12A472D9" w14:textId="5DC2545B" w:rsidR="003C3982" w:rsidRPr="001703B9" w:rsidRDefault="00074577" w:rsidP="00074577">
                            <w:pPr>
                              <w:pStyle w:val="Title"/>
                              <w:rPr>
                                <w:color w:val="000000" w:themeColor="text1"/>
                                <w:sz w:val="48"/>
                                <w:szCs w:val="48"/>
                              </w:rPr>
                            </w:pPr>
                            <w:r w:rsidRPr="001703B9">
                              <w:rPr>
                                <w:color w:val="000000" w:themeColor="text1"/>
                                <w:sz w:val="48"/>
                                <w:szCs w:val="48"/>
                              </w:rPr>
                              <w:t>RCSLT competencies in eating, drinking, and swallowing for the pre-registration education and training of speech and language therapists</w:t>
                            </w:r>
                          </w:p>
                          <w:p w14:paraId="49D69711" w14:textId="77777777" w:rsidR="00B42C33" w:rsidRPr="001703B9" w:rsidRDefault="00B42C33" w:rsidP="00835BCA">
                            <w:pPr>
                              <w:rPr>
                                <w:rStyle w:val="SubtleEmphasis"/>
                                <w:rFonts w:ascii="Open Sans SemiBold" w:hAnsi="Open Sans SemiBold" w:cs="Open Sans SemiBold"/>
                                <w:color w:val="000000" w:themeColor="text1"/>
                                <w:sz w:val="18"/>
                                <w:szCs w:val="13"/>
                              </w:rPr>
                            </w:pPr>
                          </w:p>
                          <w:p w14:paraId="486E55C5" w14:textId="2A4EA462" w:rsidR="0010517A" w:rsidRPr="001703B9" w:rsidRDefault="00074577" w:rsidP="00835BCA">
                            <w:pPr>
                              <w:rPr>
                                <w:rStyle w:val="SubtleEmphasis"/>
                                <w:rFonts w:ascii="Open Sans SemiBold" w:hAnsi="Open Sans SemiBold" w:cs="Open Sans SemiBold"/>
                                <w:color w:val="000000" w:themeColor="text1"/>
                                <w:sz w:val="18"/>
                                <w:szCs w:val="13"/>
                              </w:rPr>
                            </w:pPr>
                            <w:r w:rsidRPr="001703B9">
                              <w:rPr>
                                <w:rStyle w:val="SubtleEmphasis"/>
                                <w:rFonts w:ascii="Open Sans SemiBold" w:hAnsi="Open Sans SemiBold" w:cs="Open Sans SemiBold"/>
                                <w:color w:val="000000" w:themeColor="text1"/>
                                <w:sz w:val="18"/>
                                <w:szCs w:val="13"/>
                              </w:rPr>
                              <w:t xml:space="preserve">Version 4.0 – </w:t>
                            </w:r>
                            <w:r w:rsidR="00A260FB" w:rsidRPr="001703B9">
                              <w:rPr>
                                <w:rStyle w:val="SubtleEmphasis"/>
                                <w:rFonts w:ascii="Open Sans SemiBold" w:hAnsi="Open Sans SemiBold" w:cs="Open Sans SemiBold"/>
                                <w:color w:val="000000" w:themeColor="text1"/>
                                <w:sz w:val="18"/>
                                <w:szCs w:val="13"/>
                              </w:rPr>
                              <w:t xml:space="preserve">September </w:t>
                            </w:r>
                            <w:r w:rsidRPr="001703B9">
                              <w:rPr>
                                <w:rStyle w:val="SubtleEmphasis"/>
                                <w:rFonts w:ascii="Open Sans SemiBold" w:hAnsi="Open Sans SemiBold" w:cs="Open Sans SemiBold"/>
                                <w:color w:val="000000" w:themeColor="text1"/>
                                <w:sz w:val="18"/>
                                <w:szCs w:val="13"/>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43BDA9" id="_x0000_t202" coordsize="21600,21600" o:spt="202" path="m,l,21600r21600,l21600,xe">
                <v:stroke joinstyle="miter"/>
                <v:path gradientshapeok="t" o:connecttype="rect"/>
              </v:shapetype>
              <v:shape id="Text Box 9" o:spid="_x0000_s1027" type="#_x0000_t202" style="position:absolute;margin-left:-44.65pt;margin-top:395pt;width:534.75pt;height:21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9JGgIAADQ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" filled="f" stroked="f" strokeweight=".5pt">
                <v:textbox>
                  <w:txbxContent>
                    <w:p w14:paraId="12A472D9" w14:textId="5DC2545B" w:rsidR="003C3982" w:rsidRPr="001703B9" w:rsidRDefault="00074577" w:rsidP="00074577">
                      <w:pPr>
                        <w:pStyle w:val="Title"/>
                        <w:rPr>
                          <w:color w:val="000000" w:themeColor="text1"/>
                          <w:sz w:val="48"/>
                          <w:szCs w:val="48"/>
                        </w:rPr>
                      </w:pPr>
                      <w:r w:rsidRPr="001703B9">
                        <w:rPr>
                          <w:color w:val="000000" w:themeColor="text1"/>
                          <w:sz w:val="48"/>
                          <w:szCs w:val="48"/>
                        </w:rPr>
                        <w:t>RCSLT competencies in eating, drinking, and swallowing for the pre-registration education and training of speech and language therapists</w:t>
                      </w:r>
                    </w:p>
                    <w:p w14:paraId="49D69711" w14:textId="77777777" w:rsidR="00B42C33" w:rsidRPr="001703B9" w:rsidRDefault="00B42C33" w:rsidP="00835BCA">
                      <w:pPr>
                        <w:rPr>
                          <w:rStyle w:val="SubtleEmphasis"/>
                          <w:rFonts w:ascii="Open Sans SemiBold" w:hAnsi="Open Sans SemiBold" w:cs="Open Sans SemiBold"/>
                          <w:color w:val="000000" w:themeColor="text1"/>
                          <w:sz w:val="18"/>
                          <w:szCs w:val="13"/>
                        </w:rPr>
                      </w:pPr>
                    </w:p>
                    <w:p w14:paraId="486E55C5" w14:textId="2A4EA462" w:rsidR="0010517A" w:rsidRPr="001703B9" w:rsidRDefault="00074577" w:rsidP="00835BCA">
                      <w:pPr>
                        <w:rPr>
                          <w:rStyle w:val="SubtleEmphasis"/>
                          <w:rFonts w:ascii="Open Sans SemiBold" w:hAnsi="Open Sans SemiBold" w:cs="Open Sans SemiBold"/>
                          <w:color w:val="000000" w:themeColor="text1"/>
                          <w:sz w:val="18"/>
                          <w:szCs w:val="13"/>
                        </w:rPr>
                      </w:pPr>
                      <w:r w:rsidRPr="001703B9">
                        <w:rPr>
                          <w:rStyle w:val="SubtleEmphasis"/>
                          <w:rFonts w:ascii="Open Sans SemiBold" w:hAnsi="Open Sans SemiBold" w:cs="Open Sans SemiBold"/>
                          <w:color w:val="000000" w:themeColor="text1"/>
                          <w:sz w:val="18"/>
                          <w:szCs w:val="13"/>
                        </w:rPr>
                        <w:t xml:space="preserve">Version 4.0 – </w:t>
                      </w:r>
                      <w:r w:rsidR="00A260FB" w:rsidRPr="001703B9">
                        <w:rPr>
                          <w:rStyle w:val="SubtleEmphasis"/>
                          <w:rFonts w:ascii="Open Sans SemiBold" w:hAnsi="Open Sans SemiBold" w:cs="Open Sans SemiBold"/>
                          <w:color w:val="000000" w:themeColor="text1"/>
                          <w:sz w:val="18"/>
                          <w:szCs w:val="13"/>
                        </w:rPr>
                        <w:t xml:space="preserve">September </w:t>
                      </w:r>
                      <w:r w:rsidRPr="001703B9">
                        <w:rPr>
                          <w:rStyle w:val="SubtleEmphasis"/>
                          <w:rFonts w:ascii="Open Sans SemiBold" w:hAnsi="Open Sans SemiBold" w:cs="Open Sans SemiBold"/>
                          <w:color w:val="000000" w:themeColor="text1"/>
                          <w:sz w:val="18"/>
                          <w:szCs w:val="13"/>
                        </w:rPr>
                        <w:t>2025</w:t>
                      </w:r>
                    </w:p>
                  </w:txbxContent>
                </v:textbox>
              </v:shape>
            </w:pict>
          </mc:Fallback>
        </mc:AlternateContent>
      </w:r>
      <w:r w:rsidR="0010517A">
        <w:br w:type="page"/>
      </w:r>
    </w:p>
    <w:p w14:paraId="71A6B752" w14:textId="3310402A" w:rsidR="004E2DA4" w:rsidRDefault="004E2DA4" w:rsidP="004E2DA4">
      <w:pPr>
        <w:spacing w:after="0"/>
        <w:ind w:left="-5"/>
        <w:rPr>
          <w:b/>
          <w:sz w:val="28"/>
          <w:szCs w:val="16"/>
        </w:rPr>
      </w:pPr>
      <w:r w:rsidRPr="004E2DA4">
        <w:rPr>
          <w:b/>
          <w:sz w:val="28"/>
          <w:szCs w:val="16"/>
        </w:rPr>
        <w:lastRenderedPageBreak/>
        <w:t xml:space="preserve">Overview of changes </w:t>
      </w:r>
    </w:p>
    <w:p w14:paraId="7ADE514E" w14:textId="77777777" w:rsidR="004E2DA4" w:rsidRPr="004E2DA4" w:rsidRDefault="004E2DA4" w:rsidP="004E2DA4">
      <w:pPr>
        <w:spacing w:after="0"/>
        <w:ind w:left="-5"/>
        <w:rPr>
          <w:sz w:val="16"/>
          <w:szCs w:val="16"/>
        </w:rPr>
      </w:pPr>
    </w:p>
    <w:tbl>
      <w:tblPr>
        <w:tblStyle w:val="TableGrid"/>
        <w:tblW w:w="9016" w:type="dxa"/>
        <w:tblInd w:w="-107" w:type="dxa"/>
        <w:tblCellMar>
          <w:top w:w="53" w:type="dxa"/>
          <w:left w:w="107" w:type="dxa"/>
          <w:right w:w="100" w:type="dxa"/>
        </w:tblCellMar>
        <w:tblLook w:val="04A0" w:firstRow="1" w:lastRow="0" w:firstColumn="1" w:lastColumn="0" w:noHBand="0" w:noVBand="1"/>
      </w:tblPr>
      <w:tblGrid>
        <w:gridCol w:w="1413"/>
        <w:gridCol w:w="1983"/>
        <w:gridCol w:w="5620"/>
      </w:tblGrid>
      <w:tr w:rsidR="004E2DA4" w:rsidRPr="004E2DA4" w14:paraId="1C9F83A9" w14:textId="77777777" w:rsidTr="00683B38">
        <w:trPr>
          <w:trHeight w:val="349"/>
        </w:trPr>
        <w:tc>
          <w:tcPr>
            <w:tcW w:w="1413" w:type="dxa"/>
            <w:tcBorders>
              <w:top w:val="single" w:sz="4" w:space="0" w:color="000000"/>
              <w:left w:val="single" w:sz="4" w:space="0" w:color="000000"/>
              <w:bottom w:val="single" w:sz="4" w:space="0" w:color="000000"/>
              <w:right w:val="nil"/>
            </w:tcBorders>
            <w:shd w:val="clear" w:color="auto" w:fill="8DB3E2"/>
          </w:tcPr>
          <w:p w14:paraId="23D3A719" w14:textId="77777777" w:rsidR="004E2DA4" w:rsidRPr="004E2DA4" w:rsidRDefault="004E2DA4" w:rsidP="004C1699">
            <w:pPr>
              <w:spacing w:after="160" w:line="259" w:lineRule="auto"/>
              <w:rPr>
                <w:sz w:val="16"/>
                <w:szCs w:val="16"/>
              </w:rPr>
            </w:pPr>
          </w:p>
        </w:tc>
        <w:tc>
          <w:tcPr>
            <w:tcW w:w="1983" w:type="dxa"/>
            <w:tcBorders>
              <w:top w:val="single" w:sz="4" w:space="0" w:color="000000"/>
              <w:left w:val="nil"/>
              <w:bottom w:val="single" w:sz="4" w:space="0" w:color="000000"/>
              <w:right w:val="nil"/>
            </w:tcBorders>
            <w:shd w:val="clear" w:color="auto" w:fill="8DB3E2"/>
          </w:tcPr>
          <w:p w14:paraId="09BE298D" w14:textId="77777777" w:rsidR="004E2DA4" w:rsidRPr="004E2DA4" w:rsidRDefault="004E2DA4" w:rsidP="004C1699">
            <w:pPr>
              <w:spacing w:after="160" w:line="259" w:lineRule="auto"/>
              <w:rPr>
                <w:sz w:val="16"/>
                <w:szCs w:val="16"/>
              </w:rPr>
            </w:pPr>
          </w:p>
        </w:tc>
        <w:tc>
          <w:tcPr>
            <w:tcW w:w="5620" w:type="dxa"/>
            <w:tcBorders>
              <w:top w:val="single" w:sz="4" w:space="0" w:color="000000"/>
              <w:left w:val="nil"/>
              <w:bottom w:val="single" w:sz="4" w:space="0" w:color="000000"/>
              <w:right w:val="single" w:sz="4" w:space="0" w:color="000000"/>
            </w:tcBorders>
            <w:shd w:val="clear" w:color="auto" w:fill="8DB3E2"/>
          </w:tcPr>
          <w:p w14:paraId="5F4CB3ED" w14:textId="77777777" w:rsidR="004E2DA4" w:rsidRPr="004E2DA4" w:rsidRDefault="004E2DA4" w:rsidP="004C1699">
            <w:pPr>
              <w:spacing w:line="259" w:lineRule="auto"/>
              <w:ind w:left="111"/>
              <w:rPr>
                <w:sz w:val="16"/>
                <w:szCs w:val="16"/>
              </w:rPr>
            </w:pPr>
            <w:r w:rsidRPr="004E2DA4">
              <w:rPr>
                <w:b/>
                <w:sz w:val="16"/>
                <w:szCs w:val="16"/>
              </w:rPr>
              <w:t xml:space="preserve">Version control </w:t>
            </w:r>
          </w:p>
        </w:tc>
      </w:tr>
      <w:tr w:rsidR="004E2DA4" w:rsidRPr="004E2DA4" w14:paraId="53AB33EC" w14:textId="77777777" w:rsidTr="00683B38">
        <w:trPr>
          <w:trHeight w:val="301"/>
        </w:trPr>
        <w:tc>
          <w:tcPr>
            <w:tcW w:w="1413" w:type="dxa"/>
            <w:tcBorders>
              <w:top w:val="single" w:sz="4" w:space="0" w:color="000000"/>
              <w:left w:val="single" w:sz="4" w:space="0" w:color="000000"/>
              <w:bottom w:val="single" w:sz="4" w:space="0" w:color="000000"/>
              <w:right w:val="single" w:sz="4" w:space="0" w:color="000000"/>
            </w:tcBorders>
            <w:shd w:val="clear" w:color="auto" w:fill="C6D9F1"/>
          </w:tcPr>
          <w:p w14:paraId="2E8AA7D6" w14:textId="77777777" w:rsidR="004E2DA4" w:rsidRPr="004E2DA4" w:rsidRDefault="004E2DA4" w:rsidP="004C1699">
            <w:pPr>
              <w:spacing w:line="259" w:lineRule="auto"/>
              <w:rPr>
                <w:sz w:val="16"/>
                <w:szCs w:val="16"/>
              </w:rPr>
            </w:pPr>
            <w:r w:rsidRPr="004E2DA4">
              <w:rPr>
                <w:b/>
                <w:sz w:val="16"/>
                <w:szCs w:val="16"/>
              </w:rPr>
              <w:t xml:space="preserve">Version </w:t>
            </w:r>
          </w:p>
        </w:tc>
        <w:tc>
          <w:tcPr>
            <w:tcW w:w="1983" w:type="dxa"/>
            <w:tcBorders>
              <w:top w:val="single" w:sz="4" w:space="0" w:color="000000"/>
              <w:left w:val="single" w:sz="4" w:space="0" w:color="000000"/>
              <w:bottom w:val="single" w:sz="4" w:space="0" w:color="000000"/>
              <w:right w:val="single" w:sz="4" w:space="0" w:color="000000"/>
            </w:tcBorders>
            <w:shd w:val="clear" w:color="auto" w:fill="C6D9F1"/>
          </w:tcPr>
          <w:p w14:paraId="1855947C" w14:textId="77777777" w:rsidR="004E2DA4" w:rsidRPr="004E2DA4" w:rsidRDefault="004E2DA4" w:rsidP="004C1699">
            <w:pPr>
              <w:spacing w:line="259" w:lineRule="auto"/>
              <w:ind w:left="1"/>
              <w:rPr>
                <w:sz w:val="16"/>
                <w:szCs w:val="16"/>
              </w:rPr>
            </w:pPr>
            <w:r w:rsidRPr="004E2DA4">
              <w:rPr>
                <w:b/>
                <w:sz w:val="16"/>
                <w:szCs w:val="16"/>
              </w:rPr>
              <w:t xml:space="preserve">Date </w:t>
            </w:r>
          </w:p>
        </w:tc>
        <w:tc>
          <w:tcPr>
            <w:tcW w:w="5620" w:type="dxa"/>
            <w:tcBorders>
              <w:top w:val="single" w:sz="4" w:space="0" w:color="000000"/>
              <w:left w:val="single" w:sz="4" w:space="0" w:color="000000"/>
              <w:bottom w:val="single" w:sz="4" w:space="0" w:color="000000"/>
              <w:right w:val="single" w:sz="4" w:space="0" w:color="000000"/>
            </w:tcBorders>
            <w:shd w:val="clear" w:color="auto" w:fill="C6D9F1"/>
          </w:tcPr>
          <w:p w14:paraId="262E276C" w14:textId="77777777" w:rsidR="004E2DA4" w:rsidRPr="004E2DA4" w:rsidRDefault="004E2DA4" w:rsidP="004C1699">
            <w:pPr>
              <w:spacing w:line="259" w:lineRule="auto"/>
              <w:ind w:left="1"/>
              <w:rPr>
                <w:sz w:val="16"/>
                <w:szCs w:val="16"/>
              </w:rPr>
            </w:pPr>
            <w:r w:rsidRPr="004E2DA4">
              <w:rPr>
                <w:b/>
                <w:sz w:val="16"/>
                <w:szCs w:val="16"/>
              </w:rPr>
              <w:t xml:space="preserve">Changes </w:t>
            </w:r>
          </w:p>
        </w:tc>
      </w:tr>
      <w:tr w:rsidR="004E2DA4" w:rsidRPr="004E2DA4" w14:paraId="17ABC879" w14:textId="77777777" w:rsidTr="00683B38">
        <w:trPr>
          <w:trHeight w:val="306"/>
        </w:trPr>
        <w:tc>
          <w:tcPr>
            <w:tcW w:w="1413" w:type="dxa"/>
            <w:tcBorders>
              <w:top w:val="single" w:sz="4" w:space="0" w:color="000000"/>
              <w:left w:val="single" w:sz="4" w:space="0" w:color="000000"/>
              <w:bottom w:val="single" w:sz="4" w:space="0" w:color="000000"/>
              <w:right w:val="single" w:sz="4" w:space="0" w:color="000000"/>
            </w:tcBorders>
          </w:tcPr>
          <w:p w14:paraId="69F3CED5" w14:textId="77777777" w:rsidR="004E2DA4" w:rsidRPr="004E2DA4" w:rsidRDefault="004E2DA4" w:rsidP="004C1699">
            <w:pPr>
              <w:spacing w:line="259" w:lineRule="auto"/>
              <w:rPr>
                <w:sz w:val="16"/>
                <w:szCs w:val="16"/>
              </w:rPr>
            </w:pPr>
            <w:r w:rsidRPr="004E2DA4">
              <w:rPr>
                <w:sz w:val="16"/>
                <w:szCs w:val="16"/>
              </w:rPr>
              <w:t xml:space="preserve">1.0 </w:t>
            </w:r>
          </w:p>
        </w:tc>
        <w:tc>
          <w:tcPr>
            <w:tcW w:w="1983" w:type="dxa"/>
            <w:tcBorders>
              <w:top w:val="single" w:sz="4" w:space="0" w:color="000000"/>
              <w:left w:val="single" w:sz="4" w:space="0" w:color="000000"/>
              <w:bottom w:val="single" w:sz="4" w:space="0" w:color="000000"/>
              <w:right w:val="single" w:sz="4" w:space="0" w:color="000000"/>
            </w:tcBorders>
          </w:tcPr>
          <w:p w14:paraId="4952A303" w14:textId="77777777" w:rsidR="004E2DA4" w:rsidRPr="004E2DA4" w:rsidRDefault="004E2DA4" w:rsidP="004C1699">
            <w:pPr>
              <w:spacing w:line="259" w:lineRule="auto"/>
              <w:ind w:left="1"/>
              <w:rPr>
                <w:sz w:val="16"/>
                <w:szCs w:val="16"/>
              </w:rPr>
            </w:pPr>
            <w:r w:rsidRPr="004E2DA4">
              <w:rPr>
                <w:sz w:val="16"/>
                <w:szCs w:val="16"/>
              </w:rPr>
              <w:t xml:space="preserve">February 2021 </w:t>
            </w:r>
          </w:p>
        </w:tc>
        <w:tc>
          <w:tcPr>
            <w:tcW w:w="5620" w:type="dxa"/>
            <w:tcBorders>
              <w:top w:val="single" w:sz="4" w:space="0" w:color="000000"/>
              <w:left w:val="single" w:sz="4" w:space="0" w:color="000000"/>
              <w:bottom w:val="single" w:sz="4" w:space="0" w:color="000000"/>
              <w:right w:val="single" w:sz="4" w:space="0" w:color="000000"/>
            </w:tcBorders>
          </w:tcPr>
          <w:p w14:paraId="02447792" w14:textId="77777777" w:rsidR="004E2DA4" w:rsidRPr="004E2DA4" w:rsidRDefault="004E2DA4" w:rsidP="004C1699">
            <w:pPr>
              <w:spacing w:line="259" w:lineRule="auto"/>
              <w:ind w:left="1"/>
              <w:rPr>
                <w:sz w:val="16"/>
                <w:szCs w:val="16"/>
              </w:rPr>
            </w:pPr>
            <w:r w:rsidRPr="004E2DA4">
              <w:rPr>
                <w:sz w:val="16"/>
                <w:szCs w:val="16"/>
              </w:rPr>
              <w:t xml:space="preserve">None – first published </w:t>
            </w:r>
          </w:p>
        </w:tc>
      </w:tr>
      <w:tr w:rsidR="004E2DA4" w:rsidRPr="004E2DA4" w14:paraId="6E70C439" w14:textId="77777777" w:rsidTr="00683B38">
        <w:trPr>
          <w:trHeight w:val="2172"/>
        </w:trPr>
        <w:tc>
          <w:tcPr>
            <w:tcW w:w="1413" w:type="dxa"/>
            <w:tcBorders>
              <w:top w:val="single" w:sz="4" w:space="0" w:color="000000"/>
              <w:left w:val="single" w:sz="4" w:space="0" w:color="000000"/>
              <w:bottom w:val="single" w:sz="4" w:space="0" w:color="000000"/>
              <w:right w:val="single" w:sz="4" w:space="0" w:color="000000"/>
            </w:tcBorders>
          </w:tcPr>
          <w:p w14:paraId="343698C9" w14:textId="77777777" w:rsidR="004E2DA4" w:rsidRPr="004E2DA4" w:rsidRDefault="004E2DA4" w:rsidP="004C1699">
            <w:pPr>
              <w:spacing w:line="259" w:lineRule="auto"/>
              <w:rPr>
                <w:sz w:val="16"/>
                <w:szCs w:val="16"/>
              </w:rPr>
            </w:pPr>
            <w:r w:rsidRPr="004E2DA4">
              <w:rPr>
                <w:sz w:val="16"/>
                <w:szCs w:val="16"/>
              </w:rPr>
              <w:t xml:space="preserve">2.0  </w:t>
            </w:r>
          </w:p>
        </w:tc>
        <w:tc>
          <w:tcPr>
            <w:tcW w:w="1983" w:type="dxa"/>
            <w:tcBorders>
              <w:top w:val="single" w:sz="4" w:space="0" w:color="000000"/>
              <w:left w:val="single" w:sz="4" w:space="0" w:color="000000"/>
              <w:bottom w:val="single" w:sz="4" w:space="0" w:color="000000"/>
              <w:right w:val="single" w:sz="4" w:space="0" w:color="000000"/>
            </w:tcBorders>
          </w:tcPr>
          <w:p w14:paraId="2D9024CC" w14:textId="77777777" w:rsidR="004E2DA4" w:rsidRPr="004E2DA4" w:rsidRDefault="004E2DA4" w:rsidP="004C1699">
            <w:pPr>
              <w:spacing w:line="259" w:lineRule="auto"/>
              <w:ind w:left="1"/>
              <w:rPr>
                <w:sz w:val="16"/>
                <w:szCs w:val="16"/>
              </w:rPr>
            </w:pPr>
            <w:r w:rsidRPr="004E2DA4">
              <w:rPr>
                <w:sz w:val="16"/>
                <w:szCs w:val="16"/>
              </w:rPr>
              <w:t xml:space="preserve">June 2021 </w:t>
            </w:r>
          </w:p>
        </w:tc>
        <w:tc>
          <w:tcPr>
            <w:tcW w:w="5620" w:type="dxa"/>
            <w:tcBorders>
              <w:top w:val="single" w:sz="4" w:space="0" w:color="000000"/>
              <w:left w:val="single" w:sz="4" w:space="0" w:color="000000"/>
              <w:bottom w:val="single" w:sz="4" w:space="0" w:color="000000"/>
              <w:right w:val="single" w:sz="4" w:space="0" w:color="000000"/>
            </w:tcBorders>
          </w:tcPr>
          <w:p w14:paraId="13A650A7" w14:textId="4BC76D91" w:rsidR="004E2DA4" w:rsidRPr="004E2DA4" w:rsidRDefault="004E2DA4" w:rsidP="00330F22">
            <w:pPr>
              <w:spacing w:after="37"/>
              <w:ind w:left="1"/>
              <w:rPr>
                <w:sz w:val="16"/>
                <w:szCs w:val="16"/>
              </w:rPr>
            </w:pPr>
            <w:r w:rsidRPr="004E2DA4">
              <w:rPr>
                <w:sz w:val="16"/>
                <w:szCs w:val="16"/>
              </w:rPr>
              <w:t>Amended document to encompass EDI</w:t>
            </w:r>
            <w:r w:rsidR="00476259">
              <w:rPr>
                <w:sz w:val="16"/>
                <w:szCs w:val="16"/>
              </w:rPr>
              <w:t>.</w:t>
            </w:r>
            <w:r w:rsidRPr="004E2DA4">
              <w:rPr>
                <w:sz w:val="16"/>
                <w:szCs w:val="16"/>
              </w:rPr>
              <w:t xml:space="preserve"> </w:t>
            </w:r>
          </w:p>
        </w:tc>
      </w:tr>
      <w:tr w:rsidR="004E2DA4" w:rsidRPr="004E2DA4" w14:paraId="546459BE" w14:textId="77777777" w:rsidTr="00683B38">
        <w:trPr>
          <w:trHeight w:val="1184"/>
        </w:trPr>
        <w:tc>
          <w:tcPr>
            <w:tcW w:w="1413" w:type="dxa"/>
            <w:tcBorders>
              <w:top w:val="single" w:sz="4" w:space="0" w:color="000000"/>
              <w:left w:val="single" w:sz="4" w:space="0" w:color="000000"/>
              <w:bottom w:val="single" w:sz="4" w:space="0" w:color="000000"/>
              <w:right w:val="single" w:sz="4" w:space="0" w:color="000000"/>
            </w:tcBorders>
          </w:tcPr>
          <w:p w14:paraId="7724A954" w14:textId="77777777" w:rsidR="004E2DA4" w:rsidRPr="004E2DA4" w:rsidRDefault="004E2DA4" w:rsidP="004C1699">
            <w:pPr>
              <w:spacing w:line="259" w:lineRule="auto"/>
              <w:rPr>
                <w:sz w:val="16"/>
                <w:szCs w:val="16"/>
              </w:rPr>
            </w:pPr>
            <w:r w:rsidRPr="004E2DA4">
              <w:rPr>
                <w:sz w:val="16"/>
                <w:szCs w:val="16"/>
              </w:rPr>
              <w:t xml:space="preserve">3.0 </w:t>
            </w:r>
          </w:p>
        </w:tc>
        <w:tc>
          <w:tcPr>
            <w:tcW w:w="1983" w:type="dxa"/>
            <w:tcBorders>
              <w:top w:val="single" w:sz="4" w:space="0" w:color="000000"/>
              <w:left w:val="single" w:sz="4" w:space="0" w:color="000000"/>
              <w:bottom w:val="single" w:sz="4" w:space="0" w:color="000000"/>
              <w:right w:val="single" w:sz="4" w:space="0" w:color="000000"/>
            </w:tcBorders>
          </w:tcPr>
          <w:p w14:paraId="5480E7A3" w14:textId="77777777" w:rsidR="004E2DA4" w:rsidRPr="004E2DA4" w:rsidRDefault="004E2DA4" w:rsidP="004C1699">
            <w:pPr>
              <w:spacing w:line="259" w:lineRule="auto"/>
              <w:ind w:left="1"/>
              <w:rPr>
                <w:sz w:val="16"/>
                <w:szCs w:val="16"/>
              </w:rPr>
            </w:pPr>
            <w:r w:rsidRPr="004E2DA4">
              <w:rPr>
                <w:sz w:val="16"/>
                <w:szCs w:val="16"/>
              </w:rPr>
              <w:t xml:space="preserve">August 2021 </w:t>
            </w:r>
          </w:p>
        </w:tc>
        <w:tc>
          <w:tcPr>
            <w:tcW w:w="5620" w:type="dxa"/>
            <w:tcBorders>
              <w:top w:val="single" w:sz="4" w:space="0" w:color="000000"/>
              <w:left w:val="single" w:sz="4" w:space="0" w:color="000000"/>
              <w:bottom w:val="single" w:sz="4" w:space="0" w:color="000000"/>
              <w:right w:val="single" w:sz="4" w:space="0" w:color="000000"/>
            </w:tcBorders>
          </w:tcPr>
          <w:p w14:paraId="5D850D84" w14:textId="7268BD07" w:rsidR="004E2DA4" w:rsidRPr="004E2DA4" w:rsidRDefault="004E2DA4" w:rsidP="00330F22">
            <w:pPr>
              <w:spacing w:after="37"/>
              <w:ind w:left="1"/>
              <w:rPr>
                <w:sz w:val="16"/>
                <w:szCs w:val="16"/>
              </w:rPr>
            </w:pPr>
            <w:r w:rsidRPr="004E2DA4">
              <w:rPr>
                <w:sz w:val="16"/>
                <w:szCs w:val="16"/>
              </w:rPr>
              <w:t xml:space="preserve">Amended document to address </w:t>
            </w:r>
            <w:r w:rsidR="001703B9">
              <w:rPr>
                <w:sz w:val="16"/>
                <w:szCs w:val="16"/>
              </w:rPr>
              <w:t xml:space="preserve">minor </w:t>
            </w:r>
            <w:r w:rsidRPr="004E2DA4">
              <w:rPr>
                <w:sz w:val="16"/>
                <w:szCs w:val="16"/>
              </w:rPr>
              <w:t xml:space="preserve">typos </w:t>
            </w:r>
            <w:r w:rsidR="00476259">
              <w:rPr>
                <w:sz w:val="16"/>
                <w:szCs w:val="16"/>
              </w:rPr>
              <w:t>on page 28.</w:t>
            </w:r>
          </w:p>
        </w:tc>
      </w:tr>
      <w:tr w:rsidR="004E2DA4" w:rsidRPr="004E2DA4" w14:paraId="50DE5443" w14:textId="77777777" w:rsidTr="00683B38">
        <w:trPr>
          <w:trHeight w:val="1184"/>
        </w:trPr>
        <w:tc>
          <w:tcPr>
            <w:tcW w:w="1413" w:type="dxa"/>
            <w:tcBorders>
              <w:top w:val="single" w:sz="4" w:space="0" w:color="000000"/>
              <w:left w:val="single" w:sz="4" w:space="0" w:color="000000"/>
              <w:bottom w:val="single" w:sz="4" w:space="0" w:color="000000"/>
              <w:right w:val="single" w:sz="4" w:space="0" w:color="000000"/>
            </w:tcBorders>
          </w:tcPr>
          <w:p w14:paraId="28D3B13B" w14:textId="77777777" w:rsidR="004E2DA4" w:rsidRPr="004E2DA4" w:rsidRDefault="004E2DA4" w:rsidP="004C1699">
            <w:pPr>
              <w:spacing w:line="259" w:lineRule="auto"/>
              <w:rPr>
                <w:sz w:val="16"/>
                <w:szCs w:val="16"/>
              </w:rPr>
            </w:pPr>
            <w:r w:rsidRPr="004E2DA4">
              <w:rPr>
                <w:sz w:val="16"/>
                <w:szCs w:val="16"/>
              </w:rPr>
              <w:t>4.0</w:t>
            </w:r>
          </w:p>
        </w:tc>
        <w:tc>
          <w:tcPr>
            <w:tcW w:w="1983" w:type="dxa"/>
            <w:tcBorders>
              <w:top w:val="single" w:sz="4" w:space="0" w:color="000000"/>
              <w:left w:val="single" w:sz="4" w:space="0" w:color="000000"/>
              <w:bottom w:val="single" w:sz="4" w:space="0" w:color="000000"/>
              <w:right w:val="single" w:sz="4" w:space="0" w:color="000000"/>
            </w:tcBorders>
          </w:tcPr>
          <w:p w14:paraId="5C42EACA" w14:textId="77777777" w:rsidR="004E2DA4" w:rsidRPr="004E2DA4" w:rsidRDefault="004E2DA4" w:rsidP="00683B38">
            <w:pPr>
              <w:spacing w:line="259" w:lineRule="auto"/>
              <w:ind w:left="10" w:hanging="10"/>
              <w:rPr>
                <w:sz w:val="16"/>
                <w:szCs w:val="16"/>
              </w:rPr>
            </w:pPr>
            <w:r w:rsidRPr="004E2DA4">
              <w:rPr>
                <w:sz w:val="16"/>
                <w:szCs w:val="16"/>
              </w:rPr>
              <w:t>September 2025</w:t>
            </w:r>
          </w:p>
        </w:tc>
        <w:tc>
          <w:tcPr>
            <w:tcW w:w="5620" w:type="dxa"/>
            <w:tcBorders>
              <w:top w:val="single" w:sz="4" w:space="0" w:color="000000"/>
              <w:left w:val="single" w:sz="4" w:space="0" w:color="000000"/>
              <w:bottom w:val="single" w:sz="4" w:space="0" w:color="000000"/>
              <w:right w:val="single" w:sz="4" w:space="0" w:color="000000"/>
            </w:tcBorders>
          </w:tcPr>
          <w:p w14:paraId="0E3636BB" w14:textId="2BC0BB19" w:rsidR="00B41305" w:rsidRPr="004E2DA4" w:rsidRDefault="00FE6953" w:rsidP="00330F22">
            <w:pPr>
              <w:spacing w:after="37"/>
            </w:pPr>
            <w:r>
              <w:rPr>
                <w:sz w:val="16"/>
                <w:szCs w:val="16"/>
              </w:rPr>
              <w:t xml:space="preserve">Following consultation on proposed changes to </w:t>
            </w:r>
            <w:r w:rsidR="00DD203E">
              <w:rPr>
                <w:sz w:val="16"/>
                <w:szCs w:val="16"/>
              </w:rPr>
              <w:t>document</w:t>
            </w:r>
            <w:r w:rsidR="00FB44FC">
              <w:rPr>
                <w:sz w:val="16"/>
                <w:szCs w:val="16"/>
              </w:rPr>
              <w:t>, it was a</w:t>
            </w:r>
            <w:r w:rsidR="00DD203E">
              <w:rPr>
                <w:sz w:val="16"/>
                <w:szCs w:val="16"/>
              </w:rPr>
              <w:t xml:space="preserve">mended to reflect changes to </w:t>
            </w:r>
            <w:r w:rsidR="007543C5">
              <w:rPr>
                <w:sz w:val="16"/>
                <w:szCs w:val="16"/>
              </w:rPr>
              <w:t xml:space="preserve">hours component, wording of how competencies are signed off and </w:t>
            </w:r>
            <w:r w:rsidR="00683B38">
              <w:rPr>
                <w:sz w:val="16"/>
                <w:szCs w:val="16"/>
              </w:rPr>
              <w:t xml:space="preserve">2025 curriculum and </w:t>
            </w:r>
            <w:r w:rsidR="00B41305">
              <w:rPr>
                <w:sz w:val="16"/>
                <w:szCs w:val="16"/>
              </w:rPr>
              <w:t>practice-based</w:t>
            </w:r>
            <w:r w:rsidR="00683B38">
              <w:rPr>
                <w:sz w:val="16"/>
                <w:szCs w:val="16"/>
              </w:rPr>
              <w:t xml:space="preserve"> learning update.</w:t>
            </w:r>
            <w:r w:rsidR="00005616">
              <w:rPr>
                <w:sz w:val="16"/>
                <w:szCs w:val="16"/>
              </w:rPr>
              <w:t xml:space="preserve"> Changes have made throughout the document.</w:t>
            </w:r>
            <w:r w:rsidR="006D734C">
              <w:rPr>
                <w:sz w:val="16"/>
                <w:szCs w:val="16"/>
              </w:rPr>
              <w:t xml:space="preserve"> </w:t>
            </w:r>
          </w:p>
        </w:tc>
      </w:tr>
    </w:tbl>
    <w:p w14:paraId="2BFB1254" w14:textId="4B0E23B3" w:rsidR="004E2DA4" w:rsidRPr="003C06D7" w:rsidRDefault="004E2DA4" w:rsidP="003C06D7">
      <w:pPr>
        <w:spacing w:after="0"/>
      </w:pPr>
      <w:r>
        <w:rPr>
          <w:rFonts w:ascii="Arial" w:eastAsia="Arial" w:hAnsi="Arial" w:cs="Arial"/>
          <w:sz w:val="22"/>
        </w:rPr>
        <w:t xml:space="preserve"> </w:t>
      </w:r>
      <w:r>
        <w:rPr>
          <w:rFonts w:ascii="Arial" w:eastAsia="Arial" w:hAnsi="Arial" w:cs="Arial"/>
          <w:sz w:val="22"/>
        </w:rPr>
        <w:tab/>
      </w:r>
      <w:r>
        <w:rPr>
          <w:b/>
          <w:sz w:val="36"/>
        </w:rPr>
        <w:t xml:space="preserve"> </w:t>
      </w:r>
      <w:r>
        <w:br w:type="page"/>
      </w:r>
    </w:p>
    <w:p w14:paraId="2149B395" w14:textId="240CB02A" w:rsidR="0010517A" w:rsidRPr="003C06D7" w:rsidRDefault="0010517A" w:rsidP="0010517A">
      <w:pPr>
        <w:rPr>
          <w:b/>
          <w:bCs/>
          <w:color w:val="102036"/>
          <w:sz w:val="56"/>
          <w:szCs w:val="56"/>
        </w:rPr>
      </w:pPr>
      <w:r w:rsidRPr="00590BEF">
        <w:rPr>
          <w:b/>
          <w:bCs/>
          <w:color w:val="102036"/>
          <w:sz w:val="56"/>
          <w:szCs w:val="56"/>
        </w:rPr>
        <w:lastRenderedPageBreak/>
        <w:t>Contents</w:t>
      </w:r>
    </w:p>
    <w:bookmarkStart w:id="0" w:name="_Toc203664677" w:displacedByCustomXml="next"/>
    <w:sdt>
      <w:sdtPr>
        <w:rPr>
          <w:rFonts w:ascii="Open Sans" w:eastAsiaTheme="minorHAnsi" w:hAnsi="Open Sans" w:cs="Open Sans"/>
          <w:color w:val="231F20"/>
          <w:sz w:val="20"/>
          <w:szCs w:val="20"/>
          <w:lang w:val="en-GB"/>
        </w:rPr>
        <w:id w:val="1103614547"/>
        <w:docPartObj>
          <w:docPartGallery w:val="Table of Contents"/>
          <w:docPartUnique/>
        </w:docPartObj>
      </w:sdtPr>
      <w:sdtEndPr>
        <w:rPr>
          <w:b/>
          <w:bCs/>
          <w:noProof/>
        </w:rPr>
      </w:sdtEndPr>
      <w:sdtContent>
        <w:p w14:paraId="1EEB442F" w14:textId="5481F9AA" w:rsidR="008C65B2" w:rsidRDefault="008C65B2">
          <w:pPr>
            <w:pStyle w:val="TOCHeading"/>
          </w:pPr>
        </w:p>
        <w:p w14:paraId="4946C2F5" w14:textId="63538570" w:rsidR="00537F07" w:rsidRDefault="008C65B2">
          <w:pPr>
            <w:pStyle w:val="TOC1"/>
            <w:rPr>
              <w:rFonts w:asciiTheme="minorHAnsi" w:eastAsiaTheme="minorEastAsia" w:hAnsiTheme="minorHAnsi" w:cstheme="minorBidi"/>
              <w:noProof/>
              <w:color w:val="auto"/>
              <w:kern w:val="2"/>
              <w:szCs w:val="24"/>
              <w:lang w:eastAsia="en-GB"/>
              <w14:ligatures w14:val="standardContextual"/>
            </w:rPr>
          </w:pPr>
          <w:r>
            <w:fldChar w:fldCharType="begin"/>
          </w:r>
          <w:r>
            <w:instrText xml:space="preserve"> TOC \o "1-3" \h \z \u </w:instrText>
          </w:r>
          <w:r>
            <w:fldChar w:fldCharType="separate"/>
          </w:r>
          <w:hyperlink w:anchor="_Toc207803387" w:history="1">
            <w:r w:rsidR="00537F07" w:rsidRPr="00D76173">
              <w:rPr>
                <w:rStyle w:val="Hyperlink"/>
                <w:noProof/>
              </w:rPr>
              <w:t>Executive summary</w:t>
            </w:r>
            <w:r w:rsidR="00537F07">
              <w:rPr>
                <w:noProof/>
                <w:webHidden/>
              </w:rPr>
              <w:tab/>
            </w:r>
            <w:r w:rsidR="00537F07">
              <w:rPr>
                <w:noProof/>
                <w:webHidden/>
              </w:rPr>
              <w:fldChar w:fldCharType="begin"/>
            </w:r>
            <w:r w:rsidR="00537F07">
              <w:rPr>
                <w:noProof/>
                <w:webHidden/>
              </w:rPr>
              <w:instrText xml:space="preserve"> PAGEREF _Toc207803387 \h </w:instrText>
            </w:r>
            <w:r w:rsidR="00537F07">
              <w:rPr>
                <w:noProof/>
                <w:webHidden/>
              </w:rPr>
            </w:r>
            <w:r w:rsidR="00537F07">
              <w:rPr>
                <w:noProof/>
                <w:webHidden/>
              </w:rPr>
              <w:fldChar w:fldCharType="separate"/>
            </w:r>
            <w:r w:rsidR="005677E4">
              <w:rPr>
                <w:noProof/>
                <w:webHidden/>
              </w:rPr>
              <w:t>5</w:t>
            </w:r>
            <w:r w:rsidR="00537F07">
              <w:rPr>
                <w:noProof/>
                <w:webHidden/>
              </w:rPr>
              <w:fldChar w:fldCharType="end"/>
            </w:r>
          </w:hyperlink>
        </w:p>
        <w:p w14:paraId="3AB202C0" w14:textId="5ABA926B"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388" w:history="1">
            <w:r w:rsidRPr="00D76173">
              <w:rPr>
                <w:rStyle w:val="Hyperlink"/>
                <w:noProof/>
              </w:rPr>
              <w:t>1. Introduction</w:t>
            </w:r>
            <w:r>
              <w:rPr>
                <w:noProof/>
                <w:webHidden/>
              </w:rPr>
              <w:tab/>
            </w:r>
            <w:r>
              <w:rPr>
                <w:noProof/>
                <w:webHidden/>
              </w:rPr>
              <w:fldChar w:fldCharType="begin"/>
            </w:r>
            <w:r>
              <w:rPr>
                <w:noProof/>
                <w:webHidden/>
              </w:rPr>
              <w:instrText xml:space="preserve"> PAGEREF _Toc207803388 \h </w:instrText>
            </w:r>
            <w:r>
              <w:rPr>
                <w:noProof/>
                <w:webHidden/>
              </w:rPr>
            </w:r>
            <w:r>
              <w:rPr>
                <w:noProof/>
                <w:webHidden/>
              </w:rPr>
              <w:fldChar w:fldCharType="separate"/>
            </w:r>
            <w:r w:rsidR="005677E4">
              <w:rPr>
                <w:noProof/>
                <w:webHidden/>
              </w:rPr>
              <w:t>7</w:t>
            </w:r>
            <w:r>
              <w:rPr>
                <w:noProof/>
                <w:webHidden/>
              </w:rPr>
              <w:fldChar w:fldCharType="end"/>
            </w:r>
          </w:hyperlink>
        </w:p>
        <w:p w14:paraId="5A20601B" w14:textId="2AEE0073"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89" w:history="1">
            <w:r w:rsidRPr="00D76173">
              <w:rPr>
                <w:rStyle w:val="Hyperlink"/>
                <w:noProof/>
              </w:rPr>
              <w:t>1.1 Aims and purpose of this guidance</w:t>
            </w:r>
            <w:r>
              <w:rPr>
                <w:noProof/>
                <w:webHidden/>
              </w:rPr>
              <w:tab/>
            </w:r>
            <w:r>
              <w:rPr>
                <w:noProof/>
                <w:webHidden/>
              </w:rPr>
              <w:fldChar w:fldCharType="begin"/>
            </w:r>
            <w:r>
              <w:rPr>
                <w:noProof/>
                <w:webHidden/>
              </w:rPr>
              <w:instrText xml:space="preserve"> PAGEREF _Toc207803389 \h </w:instrText>
            </w:r>
            <w:r>
              <w:rPr>
                <w:noProof/>
                <w:webHidden/>
              </w:rPr>
            </w:r>
            <w:r>
              <w:rPr>
                <w:noProof/>
                <w:webHidden/>
              </w:rPr>
              <w:fldChar w:fldCharType="separate"/>
            </w:r>
            <w:r w:rsidR="005677E4">
              <w:rPr>
                <w:noProof/>
                <w:webHidden/>
              </w:rPr>
              <w:t>7</w:t>
            </w:r>
            <w:r>
              <w:rPr>
                <w:noProof/>
                <w:webHidden/>
              </w:rPr>
              <w:fldChar w:fldCharType="end"/>
            </w:r>
          </w:hyperlink>
        </w:p>
        <w:p w14:paraId="2713DC47" w14:textId="53456BA7"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390" w:history="1">
            <w:r w:rsidRPr="00D76173">
              <w:rPr>
                <w:rStyle w:val="Hyperlink"/>
                <w:noProof/>
              </w:rPr>
              <w:t>2. Defining speech and language therapy: speech and language therapy clinical and professional capabilities</w:t>
            </w:r>
            <w:r>
              <w:rPr>
                <w:noProof/>
                <w:webHidden/>
              </w:rPr>
              <w:tab/>
            </w:r>
            <w:r>
              <w:rPr>
                <w:noProof/>
                <w:webHidden/>
              </w:rPr>
              <w:fldChar w:fldCharType="begin"/>
            </w:r>
            <w:r>
              <w:rPr>
                <w:noProof/>
                <w:webHidden/>
              </w:rPr>
              <w:instrText xml:space="preserve"> PAGEREF _Toc207803390 \h </w:instrText>
            </w:r>
            <w:r>
              <w:rPr>
                <w:noProof/>
                <w:webHidden/>
              </w:rPr>
            </w:r>
            <w:r>
              <w:rPr>
                <w:noProof/>
                <w:webHidden/>
              </w:rPr>
              <w:fldChar w:fldCharType="separate"/>
            </w:r>
            <w:r w:rsidR="005677E4">
              <w:rPr>
                <w:noProof/>
                <w:webHidden/>
              </w:rPr>
              <w:t>9</w:t>
            </w:r>
            <w:r>
              <w:rPr>
                <w:noProof/>
                <w:webHidden/>
              </w:rPr>
              <w:fldChar w:fldCharType="end"/>
            </w:r>
          </w:hyperlink>
        </w:p>
        <w:p w14:paraId="3FF65BEC" w14:textId="0EB9835B"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1" w:history="1">
            <w:r w:rsidRPr="00D76173">
              <w:rPr>
                <w:rStyle w:val="Hyperlink"/>
                <w:noProof/>
              </w:rPr>
              <w:t>2.1 Communication</w:t>
            </w:r>
            <w:r>
              <w:rPr>
                <w:noProof/>
                <w:webHidden/>
              </w:rPr>
              <w:tab/>
            </w:r>
            <w:r>
              <w:rPr>
                <w:noProof/>
                <w:webHidden/>
              </w:rPr>
              <w:fldChar w:fldCharType="begin"/>
            </w:r>
            <w:r>
              <w:rPr>
                <w:noProof/>
                <w:webHidden/>
              </w:rPr>
              <w:instrText xml:space="preserve"> PAGEREF _Toc207803391 \h </w:instrText>
            </w:r>
            <w:r>
              <w:rPr>
                <w:noProof/>
                <w:webHidden/>
              </w:rPr>
            </w:r>
            <w:r>
              <w:rPr>
                <w:noProof/>
                <w:webHidden/>
              </w:rPr>
              <w:fldChar w:fldCharType="separate"/>
            </w:r>
            <w:r w:rsidR="005677E4">
              <w:rPr>
                <w:noProof/>
                <w:webHidden/>
              </w:rPr>
              <w:t>9</w:t>
            </w:r>
            <w:r>
              <w:rPr>
                <w:noProof/>
                <w:webHidden/>
              </w:rPr>
              <w:fldChar w:fldCharType="end"/>
            </w:r>
          </w:hyperlink>
        </w:p>
        <w:p w14:paraId="69313530" w14:textId="2219ECCF"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2" w:history="1">
            <w:r w:rsidRPr="00D76173">
              <w:rPr>
                <w:rStyle w:val="Hyperlink"/>
                <w:noProof/>
              </w:rPr>
              <w:t>2.2 Partnerships</w:t>
            </w:r>
            <w:r>
              <w:rPr>
                <w:noProof/>
                <w:webHidden/>
              </w:rPr>
              <w:tab/>
            </w:r>
            <w:r>
              <w:rPr>
                <w:noProof/>
                <w:webHidden/>
              </w:rPr>
              <w:fldChar w:fldCharType="begin"/>
            </w:r>
            <w:r>
              <w:rPr>
                <w:noProof/>
                <w:webHidden/>
              </w:rPr>
              <w:instrText xml:space="preserve"> PAGEREF _Toc207803392 \h </w:instrText>
            </w:r>
            <w:r>
              <w:rPr>
                <w:noProof/>
                <w:webHidden/>
              </w:rPr>
            </w:r>
            <w:r>
              <w:rPr>
                <w:noProof/>
                <w:webHidden/>
              </w:rPr>
              <w:fldChar w:fldCharType="separate"/>
            </w:r>
            <w:r w:rsidR="005677E4">
              <w:rPr>
                <w:noProof/>
                <w:webHidden/>
              </w:rPr>
              <w:t>10</w:t>
            </w:r>
            <w:r>
              <w:rPr>
                <w:noProof/>
                <w:webHidden/>
              </w:rPr>
              <w:fldChar w:fldCharType="end"/>
            </w:r>
          </w:hyperlink>
        </w:p>
        <w:p w14:paraId="1FD26514" w14:textId="7921F226"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3" w:history="1">
            <w:r w:rsidRPr="00D76173">
              <w:rPr>
                <w:rStyle w:val="Hyperlink"/>
                <w:noProof/>
              </w:rPr>
              <w:t>2.3 Leadership and lifelong learning</w:t>
            </w:r>
            <w:r>
              <w:rPr>
                <w:noProof/>
                <w:webHidden/>
              </w:rPr>
              <w:tab/>
            </w:r>
            <w:r>
              <w:rPr>
                <w:noProof/>
                <w:webHidden/>
              </w:rPr>
              <w:fldChar w:fldCharType="begin"/>
            </w:r>
            <w:r>
              <w:rPr>
                <w:noProof/>
                <w:webHidden/>
              </w:rPr>
              <w:instrText xml:space="preserve"> PAGEREF _Toc207803393 \h </w:instrText>
            </w:r>
            <w:r>
              <w:rPr>
                <w:noProof/>
                <w:webHidden/>
              </w:rPr>
            </w:r>
            <w:r>
              <w:rPr>
                <w:noProof/>
                <w:webHidden/>
              </w:rPr>
              <w:fldChar w:fldCharType="separate"/>
            </w:r>
            <w:r w:rsidR="005677E4">
              <w:rPr>
                <w:noProof/>
                <w:webHidden/>
              </w:rPr>
              <w:t>10</w:t>
            </w:r>
            <w:r>
              <w:rPr>
                <w:noProof/>
                <w:webHidden/>
              </w:rPr>
              <w:fldChar w:fldCharType="end"/>
            </w:r>
          </w:hyperlink>
        </w:p>
        <w:p w14:paraId="657C86A8" w14:textId="6F80D6E3"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4" w:history="1">
            <w:r w:rsidRPr="00D76173">
              <w:rPr>
                <w:rStyle w:val="Hyperlink"/>
                <w:noProof/>
              </w:rPr>
              <w:t>2.4 Research and evidence-based practice</w:t>
            </w:r>
            <w:r>
              <w:rPr>
                <w:noProof/>
                <w:webHidden/>
              </w:rPr>
              <w:tab/>
            </w:r>
            <w:r>
              <w:rPr>
                <w:noProof/>
                <w:webHidden/>
              </w:rPr>
              <w:fldChar w:fldCharType="begin"/>
            </w:r>
            <w:r>
              <w:rPr>
                <w:noProof/>
                <w:webHidden/>
              </w:rPr>
              <w:instrText xml:space="preserve"> PAGEREF _Toc207803394 \h </w:instrText>
            </w:r>
            <w:r>
              <w:rPr>
                <w:noProof/>
                <w:webHidden/>
              </w:rPr>
            </w:r>
            <w:r>
              <w:rPr>
                <w:noProof/>
                <w:webHidden/>
              </w:rPr>
              <w:fldChar w:fldCharType="separate"/>
            </w:r>
            <w:r w:rsidR="005677E4">
              <w:rPr>
                <w:noProof/>
                <w:webHidden/>
              </w:rPr>
              <w:t>11</w:t>
            </w:r>
            <w:r>
              <w:rPr>
                <w:noProof/>
                <w:webHidden/>
              </w:rPr>
              <w:fldChar w:fldCharType="end"/>
            </w:r>
          </w:hyperlink>
        </w:p>
        <w:p w14:paraId="7546C56D" w14:textId="46FF2E37"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5" w:history="1">
            <w:r w:rsidRPr="00D76173">
              <w:rPr>
                <w:rStyle w:val="Hyperlink"/>
                <w:noProof/>
              </w:rPr>
              <w:t>2.5 Professional autonomy and accountability</w:t>
            </w:r>
            <w:r>
              <w:rPr>
                <w:noProof/>
                <w:webHidden/>
              </w:rPr>
              <w:tab/>
            </w:r>
            <w:r>
              <w:rPr>
                <w:noProof/>
                <w:webHidden/>
              </w:rPr>
              <w:fldChar w:fldCharType="begin"/>
            </w:r>
            <w:r>
              <w:rPr>
                <w:noProof/>
                <w:webHidden/>
              </w:rPr>
              <w:instrText xml:space="preserve"> PAGEREF _Toc207803395 \h </w:instrText>
            </w:r>
            <w:r>
              <w:rPr>
                <w:noProof/>
                <w:webHidden/>
              </w:rPr>
            </w:r>
            <w:r>
              <w:rPr>
                <w:noProof/>
                <w:webHidden/>
              </w:rPr>
              <w:fldChar w:fldCharType="separate"/>
            </w:r>
            <w:r w:rsidR="005677E4">
              <w:rPr>
                <w:noProof/>
                <w:webHidden/>
              </w:rPr>
              <w:t>11</w:t>
            </w:r>
            <w:r>
              <w:rPr>
                <w:noProof/>
                <w:webHidden/>
              </w:rPr>
              <w:fldChar w:fldCharType="end"/>
            </w:r>
          </w:hyperlink>
        </w:p>
        <w:p w14:paraId="3710E41A" w14:textId="07856EFE"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6" w:history="1">
            <w:r w:rsidRPr="00D76173">
              <w:rPr>
                <w:rStyle w:val="Hyperlink"/>
                <w:noProof/>
              </w:rPr>
              <w:t>2.6 Competency development</w:t>
            </w:r>
            <w:r>
              <w:rPr>
                <w:noProof/>
                <w:webHidden/>
              </w:rPr>
              <w:tab/>
            </w:r>
            <w:r>
              <w:rPr>
                <w:noProof/>
                <w:webHidden/>
              </w:rPr>
              <w:fldChar w:fldCharType="begin"/>
            </w:r>
            <w:r>
              <w:rPr>
                <w:noProof/>
                <w:webHidden/>
              </w:rPr>
              <w:instrText xml:space="preserve"> PAGEREF _Toc207803396 \h </w:instrText>
            </w:r>
            <w:r>
              <w:rPr>
                <w:noProof/>
                <w:webHidden/>
              </w:rPr>
            </w:r>
            <w:r>
              <w:rPr>
                <w:noProof/>
                <w:webHidden/>
              </w:rPr>
              <w:fldChar w:fldCharType="separate"/>
            </w:r>
            <w:r w:rsidR="005677E4">
              <w:rPr>
                <w:noProof/>
                <w:webHidden/>
              </w:rPr>
              <w:t>11</w:t>
            </w:r>
            <w:r>
              <w:rPr>
                <w:noProof/>
                <w:webHidden/>
              </w:rPr>
              <w:fldChar w:fldCharType="end"/>
            </w:r>
          </w:hyperlink>
        </w:p>
        <w:p w14:paraId="1E0B9CE1" w14:textId="01662DD9" w:rsidR="00537F07" w:rsidRDefault="00537F07">
          <w:pPr>
            <w:pStyle w:val="TOC1"/>
            <w:tabs>
              <w:tab w:val="left" w:pos="720"/>
            </w:tabs>
            <w:rPr>
              <w:rFonts w:asciiTheme="minorHAnsi" w:eastAsiaTheme="minorEastAsia" w:hAnsiTheme="minorHAnsi" w:cstheme="minorBidi"/>
              <w:noProof/>
              <w:color w:val="auto"/>
              <w:kern w:val="2"/>
              <w:szCs w:val="24"/>
              <w:lang w:eastAsia="en-GB"/>
              <w14:ligatures w14:val="standardContextual"/>
            </w:rPr>
          </w:pPr>
          <w:hyperlink w:anchor="_Toc207803397" w:history="1">
            <w:r w:rsidRPr="00D76173">
              <w:rPr>
                <w:rStyle w:val="Hyperlink"/>
                <w:noProof/>
              </w:rPr>
              <w:t>3.</w:t>
            </w:r>
            <w:r>
              <w:rPr>
                <w:rFonts w:asciiTheme="minorHAnsi" w:eastAsiaTheme="minorEastAsia" w:hAnsiTheme="minorHAnsi" w:cstheme="minorBidi"/>
                <w:noProof/>
                <w:color w:val="auto"/>
                <w:kern w:val="2"/>
                <w:szCs w:val="24"/>
                <w:lang w:eastAsia="en-GB"/>
                <w14:ligatures w14:val="standardContextual"/>
              </w:rPr>
              <w:tab/>
            </w:r>
            <w:r w:rsidRPr="00D76173">
              <w:rPr>
                <w:rStyle w:val="Hyperlink"/>
                <w:noProof/>
              </w:rPr>
              <w:t>Guidance for development and delivery of pre-registration EDS competencies</w:t>
            </w:r>
            <w:r>
              <w:rPr>
                <w:noProof/>
                <w:webHidden/>
              </w:rPr>
              <w:tab/>
            </w:r>
            <w:r>
              <w:rPr>
                <w:noProof/>
                <w:webHidden/>
              </w:rPr>
              <w:fldChar w:fldCharType="begin"/>
            </w:r>
            <w:r>
              <w:rPr>
                <w:noProof/>
                <w:webHidden/>
              </w:rPr>
              <w:instrText xml:space="preserve"> PAGEREF _Toc207803397 \h </w:instrText>
            </w:r>
            <w:r>
              <w:rPr>
                <w:noProof/>
                <w:webHidden/>
              </w:rPr>
            </w:r>
            <w:r>
              <w:rPr>
                <w:noProof/>
                <w:webHidden/>
              </w:rPr>
              <w:fldChar w:fldCharType="separate"/>
            </w:r>
            <w:r w:rsidR="005677E4">
              <w:rPr>
                <w:noProof/>
                <w:webHidden/>
              </w:rPr>
              <w:t>13</w:t>
            </w:r>
            <w:r>
              <w:rPr>
                <w:noProof/>
                <w:webHidden/>
              </w:rPr>
              <w:fldChar w:fldCharType="end"/>
            </w:r>
          </w:hyperlink>
        </w:p>
        <w:p w14:paraId="3E8E18A3" w14:textId="4D426A1F"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398" w:history="1">
            <w:r w:rsidRPr="00D76173">
              <w:rPr>
                <w:rStyle w:val="Hyperlink"/>
                <w:noProof/>
              </w:rPr>
              <w:t>3.1 Learning outcomes</w:t>
            </w:r>
            <w:r>
              <w:rPr>
                <w:noProof/>
                <w:webHidden/>
              </w:rPr>
              <w:tab/>
            </w:r>
            <w:r>
              <w:rPr>
                <w:noProof/>
                <w:webHidden/>
              </w:rPr>
              <w:fldChar w:fldCharType="begin"/>
            </w:r>
            <w:r>
              <w:rPr>
                <w:noProof/>
                <w:webHidden/>
              </w:rPr>
              <w:instrText xml:space="preserve"> PAGEREF _Toc207803398 \h </w:instrText>
            </w:r>
            <w:r>
              <w:rPr>
                <w:noProof/>
                <w:webHidden/>
              </w:rPr>
            </w:r>
            <w:r>
              <w:rPr>
                <w:noProof/>
                <w:webHidden/>
              </w:rPr>
              <w:fldChar w:fldCharType="separate"/>
            </w:r>
            <w:r w:rsidR="005677E4">
              <w:rPr>
                <w:noProof/>
                <w:webHidden/>
              </w:rPr>
              <w:t>15</w:t>
            </w:r>
            <w:r>
              <w:rPr>
                <w:noProof/>
                <w:webHidden/>
              </w:rPr>
              <w:fldChar w:fldCharType="end"/>
            </w:r>
          </w:hyperlink>
        </w:p>
        <w:p w14:paraId="6C540831" w14:textId="5056D7FF" w:rsidR="00537F07" w:rsidRDefault="00537F07">
          <w:pPr>
            <w:pStyle w:val="TOC3"/>
            <w:tabs>
              <w:tab w:val="right" w:pos="9060"/>
            </w:tabs>
            <w:rPr>
              <w:rFonts w:asciiTheme="minorHAnsi" w:eastAsiaTheme="minorEastAsia" w:hAnsiTheme="minorHAnsi" w:cstheme="minorBidi"/>
              <w:noProof/>
              <w:color w:val="auto"/>
              <w:kern w:val="2"/>
              <w:sz w:val="24"/>
              <w:szCs w:val="24"/>
              <w:lang w:eastAsia="en-GB"/>
              <w14:ligatures w14:val="standardContextual"/>
            </w:rPr>
          </w:pPr>
          <w:hyperlink w:anchor="_Toc207803399" w:history="1">
            <w:r w:rsidRPr="00D76173">
              <w:rPr>
                <w:rStyle w:val="Hyperlink"/>
                <w:noProof/>
              </w:rPr>
              <w:t>3.1.1 Entry-level EDS knowledge</w:t>
            </w:r>
            <w:r>
              <w:rPr>
                <w:noProof/>
                <w:webHidden/>
              </w:rPr>
              <w:tab/>
            </w:r>
            <w:r>
              <w:rPr>
                <w:noProof/>
                <w:webHidden/>
              </w:rPr>
              <w:fldChar w:fldCharType="begin"/>
            </w:r>
            <w:r>
              <w:rPr>
                <w:noProof/>
                <w:webHidden/>
              </w:rPr>
              <w:instrText xml:space="preserve"> PAGEREF _Toc207803399 \h </w:instrText>
            </w:r>
            <w:r>
              <w:rPr>
                <w:noProof/>
                <w:webHidden/>
              </w:rPr>
            </w:r>
            <w:r>
              <w:rPr>
                <w:noProof/>
                <w:webHidden/>
              </w:rPr>
              <w:fldChar w:fldCharType="separate"/>
            </w:r>
            <w:r w:rsidR="005677E4">
              <w:rPr>
                <w:noProof/>
                <w:webHidden/>
              </w:rPr>
              <w:t>15</w:t>
            </w:r>
            <w:r>
              <w:rPr>
                <w:noProof/>
                <w:webHidden/>
              </w:rPr>
              <w:fldChar w:fldCharType="end"/>
            </w:r>
          </w:hyperlink>
        </w:p>
        <w:p w14:paraId="6ECB3DFA" w14:textId="2C2C2B07" w:rsidR="00537F07" w:rsidRDefault="00537F07">
          <w:pPr>
            <w:pStyle w:val="TOC3"/>
            <w:tabs>
              <w:tab w:val="right" w:pos="9060"/>
            </w:tabs>
            <w:rPr>
              <w:rFonts w:asciiTheme="minorHAnsi" w:eastAsiaTheme="minorEastAsia" w:hAnsiTheme="minorHAnsi" w:cstheme="minorBidi"/>
              <w:noProof/>
              <w:color w:val="auto"/>
              <w:kern w:val="2"/>
              <w:sz w:val="24"/>
              <w:szCs w:val="24"/>
              <w:lang w:eastAsia="en-GB"/>
              <w14:ligatures w14:val="standardContextual"/>
            </w:rPr>
          </w:pPr>
          <w:hyperlink w:anchor="_Toc207803400" w:history="1">
            <w:r w:rsidRPr="00D76173">
              <w:rPr>
                <w:rStyle w:val="Hyperlink"/>
                <w:noProof/>
              </w:rPr>
              <w:t>3.1.2 Entry-level EDS competencies</w:t>
            </w:r>
            <w:r>
              <w:rPr>
                <w:noProof/>
                <w:webHidden/>
              </w:rPr>
              <w:tab/>
            </w:r>
            <w:r>
              <w:rPr>
                <w:noProof/>
                <w:webHidden/>
              </w:rPr>
              <w:fldChar w:fldCharType="begin"/>
            </w:r>
            <w:r>
              <w:rPr>
                <w:noProof/>
                <w:webHidden/>
              </w:rPr>
              <w:instrText xml:space="preserve"> PAGEREF _Toc207803400 \h </w:instrText>
            </w:r>
            <w:r>
              <w:rPr>
                <w:noProof/>
                <w:webHidden/>
              </w:rPr>
            </w:r>
            <w:r>
              <w:rPr>
                <w:noProof/>
                <w:webHidden/>
              </w:rPr>
              <w:fldChar w:fldCharType="separate"/>
            </w:r>
            <w:r w:rsidR="005677E4">
              <w:rPr>
                <w:noProof/>
                <w:webHidden/>
              </w:rPr>
              <w:t>16</w:t>
            </w:r>
            <w:r>
              <w:rPr>
                <w:noProof/>
                <w:webHidden/>
              </w:rPr>
              <w:fldChar w:fldCharType="end"/>
            </w:r>
          </w:hyperlink>
        </w:p>
        <w:p w14:paraId="06159B88" w14:textId="5B323AE1" w:rsidR="00537F07" w:rsidRDefault="00537F07">
          <w:pPr>
            <w:pStyle w:val="TOC1"/>
            <w:tabs>
              <w:tab w:val="left" w:pos="720"/>
            </w:tabs>
            <w:rPr>
              <w:rFonts w:asciiTheme="minorHAnsi" w:eastAsiaTheme="minorEastAsia" w:hAnsiTheme="minorHAnsi" w:cstheme="minorBidi"/>
              <w:noProof/>
              <w:color w:val="auto"/>
              <w:kern w:val="2"/>
              <w:szCs w:val="24"/>
              <w:lang w:eastAsia="en-GB"/>
              <w14:ligatures w14:val="standardContextual"/>
            </w:rPr>
          </w:pPr>
          <w:hyperlink w:anchor="_Toc207803401" w:history="1">
            <w:r w:rsidRPr="00D76173">
              <w:rPr>
                <w:rStyle w:val="Hyperlink"/>
                <w:noProof/>
              </w:rPr>
              <w:t>4.</w:t>
            </w:r>
            <w:r>
              <w:rPr>
                <w:rFonts w:asciiTheme="minorHAnsi" w:eastAsiaTheme="minorEastAsia" w:hAnsiTheme="minorHAnsi" w:cstheme="minorBidi"/>
                <w:noProof/>
                <w:color w:val="auto"/>
                <w:kern w:val="2"/>
                <w:szCs w:val="24"/>
                <w:lang w:eastAsia="en-GB"/>
                <w14:ligatures w14:val="standardContextual"/>
              </w:rPr>
              <w:tab/>
            </w:r>
            <w:r w:rsidRPr="00D76173">
              <w:rPr>
                <w:rStyle w:val="Hyperlink"/>
                <w:noProof/>
              </w:rPr>
              <w:t>Partnership in practice-based learning provision</w:t>
            </w:r>
            <w:r>
              <w:rPr>
                <w:noProof/>
                <w:webHidden/>
              </w:rPr>
              <w:tab/>
            </w:r>
            <w:r>
              <w:rPr>
                <w:noProof/>
                <w:webHidden/>
              </w:rPr>
              <w:fldChar w:fldCharType="begin"/>
            </w:r>
            <w:r>
              <w:rPr>
                <w:noProof/>
                <w:webHidden/>
              </w:rPr>
              <w:instrText xml:space="preserve"> PAGEREF _Toc207803401 \h </w:instrText>
            </w:r>
            <w:r>
              <w:rPr>
                <w:noProof/>
                <w:webHidden/>
              </w:rPr>
            </w:r>
            <w:r>
              <w:rPr>
                <w:noProof/>
                <w:webHidden/>
              </w:rPr>
              <w:fldChar w:fldCharType="separate"/>
            </w:r>
            <w:r w:rsidR="005677E4">
              <w:rPr>
                <w:noProof/>
                <w:webHidden/>
              </w:rPr>
              <w:t>18</w:t>
            </w:r>
            <w:r>
              <w:rPr>
                <w:noProof/>
                <w:webHidden/>
              </w:rPr>
              <w:fldChar w:fldCharType="end"/>
            </w:r>
          </w:hyperlink>
        </w:p>
        <w:p w14:paraId="05FC5FB1" w14:textId="5DF706D8"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402" w:history="1">
            <w:r w:rsidRPr="00D76173">
              <w:rPr>
                <w:rStyle w:val="Hyperlink"/>
                <w:noProof/>
              </w:rPr>
              <w:t>4.1 Recommended practice placement hours</w:t>
            </w:r>
            <w:r>
              <w:rPr>
                <w:noProof/>
                <w:webHidden/>
              </w:rPr>
              <w:tab/>
            </w:r>
            <w:r>
              <w:rPr>
                <w:noProof/>
                <w:webHidden/>
              </w:rPr>
              <w:fldChar w:fldCharType="begin"/>
            </w:r>
            <w:r>
              <w:rPr>
                <w:noProof/>
                <w:webHidden/>
              </w:rPr>
              <w:instrText xml:space="preserve"> PAGEREF _Toc207803402 \h </w:instrText>
            </w:r>
            <w:r>
              <w:rPr>
                <w:noProof/>
                <w:webHidden/>
              </w:rPr>
            </w:r>
            <w:r>
              <w:rPr>
                <w:noProof/>
                <w:webHidden/>
              </w:rPr>
              <w:fldChar w:fldCharType="separate"/>
            </w:r>
            <w:r w:rsidR="005677E4">
              <w:rPr>
                <w:noProof/>
                <w:webHidden/>
              </w:rPr>
              <w:t>18</w:t>
            </w:r>
            <w:r>
              <w:rPr>
                <w:noProof/>
                <w:webHidden/>
              </w:rPr>
              <w:fldChar w:fldCharType="end"/>
            </w:r>
          </w:hyperlink>
        </w:p>
        <w:p w14:paraId="3DEFAE04" w14:textId="53D8581C"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403" w:history="1">
            <w:r w:rsidRPr="00D76173">
              <w:rPr>
                <w:rStyle w:val="Hyperlink"/>
                <w:noProof/>
              </w:rPr>
              <w:t>4.2 Practice placement-specific activities</w:t>
            </w:r>
            <w:r>
              <w:rPr>
                <w:noProof/>
                <w:webHidden/>
              </w:rPr>
              <w:tab/>
            </w:r>
            <w:r>
              <w:rPr>
                <w:noProof/>
                <w:webHidden/>
              </w:rPr>
              <w:fldChar w:fldCharType="begin"/>
            </w:r>
            <w:r>
              <w:rPr>
                <w:noProof/>
                <w:webHidden/>
              </w:rPr>
              <w:instrText xml:space="preserve"> PAGEREF _Toc207803403 \h </w:instrText>
            </w:r>
            <w:r>
              <w:rPr>
                <w:noProof/>
                <w:webHidden/>
              </w:rPr>
            </w:r>
            <w:r>
              <w:rPr>
                <w:noProof/>
                <w:webHidden/>
              </w:rPr>
              <w:fldChar w:fldCharType="separate"/>
            </w:r>
            <w:r w:rsidR="005677E4">
              <w:rPr>
                <w:noProof/>
                <w:webHidden/>
              </w:rPr>
              <w:t>19</w:t>
            </w:r>
            <w:r>
              <w:rPr>
                <w:noProof/>
                <w:webHidden/>
              </w:rPr>
              <w:fldChar w:fldCharType="end"/>
            </w:r>
          </w:hyperlink>
        </w:p>
        <w:p w14:paraId="2EF3A972" w14:textId="2D014298"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404" w:history="1">
            <w:r w:rsidRPr="00D76173">
              <w:rPr>
                <w:rStyle w:val="Hyperlink"/>
                <w:noProof/>
              </w:rPr>
              <w:t>4.3 Practice placement-specific activities across speech and language therapy learner competency development</w:t>
            </w:r>
            <w:r>
              <w:rPr>
                <w:noProof/>
                <w:webHidden/>
              </w:rPr>
              <w:tab/>
            </w:r>
            <w:r>
              <w:rPr>
                <w:noProof/>
                <w:webHidden/>
              </w:rPr>
              <w:fldChar w:fldCharType="begin"/>
            </w:r>
            <w:r>
              <w:rPr>
                <w:noProof/>
                <w:webHidden/>
              </w:rPr>
              <w:instrText xml:space="preserve"> PAGEREF _Toc207803404 \h </w:instrText>
            </w:r>
            <w:r>
              <w:rPr>
                <w:noProof/>
                <w:webHidden/>
              </w:rPr>
            </w:r>
            <w:r>
              <w:rPr>
                <w:noProof/>
                <w:webHidden/>
              </w:rPr>
              <w:fldChar w:fldCharType="separate"/>
            </w:r>
            <w:r w:rsidR="005677E4">
              <w:rPr>
                <w:noProof/>
                <w:webHidden/>
              </w:rPr>
              <w:t>20</w:t>
            </w:r>
            <w:r>
              <w:rPr>
                <w:noProof/>
                <w:webHidden/>
              </w:rPr>
              <w:fldChar w:fldCharType="end"/>
            </w:r>
          </w:hyperlink>
        </w:p>
        <w:p w14:paraId="54B833A9" w14:textId="3DBDD840" w:rsidR="00537F07" w:rsidRDefault="00537F07">
          <w:pPr>
            <w:pStyle w:val="TOC3"/>
            <w:tabs>
              <w:tab w:val="right" w:pos="9060"/>
            </w:tabs>
            <w:rPr>
              <w:rFonts w:asciiTheme="minorHAnsi" w:eastAsiaTheme="minorEastAsia" w:hAnsiTheme="minorHAnsi" w:cstheme="minorBidi"/>
              <w:noProof/>
              <w:color w:val="auto"/>
              <w:kern w:val="2"/>
              <w:sz w:val="24"/>
              <w:szCs w:val="24"/>
              <w:lang w:eastAsia="en-GB"/>
              <w14:ligatures w14:val="standardContextual"/>
            </w:rPr>
          </w:pPr>
          <w:hyperlink w:anchor="_Toc207803405" w:history="1">
            <w:r w:rsidRPr="00D76173">
              <w:rPr>
                <w:rStyle w:val="Hyperlink"/>
                <w:noProof/>
              </w:rPr>
              <w:t>4.3.1 Early competency development</w:t>
            </w:r>
            <w:r>
              <w:rPr>
                <w:noProof/>
                <w:webHidden/>
              </w:rPr>
              <w:tab/>
            </w:r>
            <w:r>
              <w:rPr>
                <w:noProof/>
                <w:webHidden/>
              </w:rPr>
              <w:fldChar w:fldCharType="begin"/>
            </w:r>
            <w:r>
              <w:rPr>
                <w:noProof/>
                <w:webHidden/>
              </w:rPr>
              <w:instrText xml:space="preserve"> PAGEREF _Toc207803405 \h </w:instrText>
            </w:r>
            <w:r>
              <w:rPr>
                <w:noProof/>
                <w:webHidden/>
              </w:rPr>
            </w:r>
            <w:r>
              <w:rPr>
                <w:noProof/>
                <w:webHidden/>
              </w:rPr>
              <w:fldChar w:fldCharType="separate"/>
            </w:r>
            <w:r w:rsidR="005677E4">
              <w:rPr>
                <w:noProof/>
                <w:webHidden/>
              </w:rPr>
              <w:t>20</w:t>
            </w:r>
            <w:r>
              <w:rPr>
                <w:noProof/>
                <w:webHidden/>
              </w:rPr>
              <w:fldChar w:fldCharType="end"/>
            </w:r>
          </w:hyperlink>
        </w:p>
        <w:p w14:paraId="39A2AB8B" w14:textId="0F4502E5" w:rsidR="00537F07" w:rsidRDefault="00537F07">
          <w:pPr>
            <w:pStyle w:val="TOC3"/>
            <w:tabs>
              <w:tab w:val="right" w:pos="9060"/>
            </w:tabs>
            <w:rPr>
              <w:rFonts w:asciiTheme="minorHAnsi" w:eastAsiaTheme="minorEastAsia" w:hAnsiTheme="minorHAnsi" w:cstheme="minorBidi"/>
              <w:noProof/>
              <w:color w:val="auto"/>
              <w:kern w:val="2"/>
              <w:sz w:val="24"/>
              <w:szCs w:val="24"/>
              <w:lang w:eastAsia="en-GB"/>
              <w14:ligatures w14:val="standardContextual"/>
            </w:rPr>
          </w:pPr>
          <w:hyperlink w:anchor="_Toc207803406" w:history="1">
            <w:r w:rsidRPr="00D76173">
              <w:rPr>
                <w:rStyle w:val="Hyperlink"/>
                <w:noProof/>
              </w:rPr>
              <w:t>4.3.2 Competency progression</w:t>
            </w:r>
            <w:r>
              <w:rPr>
                <w:noProof/>
                <w:webHidden/>
              </w:rPr>
              <w:tab/>
            </w:r>
            <w:r>
              <w:rPr>
                <w:noProof/>
                <w:webHidden/>
              </w:rPr>
              <w:fldChar w:fldCharType="begin"/>
            </w:r>
            <w:r>
              <w:rPr>
                <w:noProof/>
                <w:webHidden/>
              </w:rPr>
              <w:instrText xml:space="preserve"> PAGEREF _Toc207803406 \h </w:instrText>
            </w:r>
            <w:r>
              <w:rPr>
                <w:noProof/>
                <w:webHidden/>
              </w:rPr>
            </w:r>
            <w:r>
              <w:rPr>
                <w:noProof/>
                <w:webHidden/>
              </w:rPr>
              <w:fldChar w:fldCharType="separate"/>
            </w:r>
            <w:r w:rsidR="005677E4">
              <w:rPr>
                <w:noProof/>
                <w:webHidden/>
              </w:rPr>
              <w:t>21</w:t>
            </w:r>
            <w:r>
              <w:rPr>
                <w:noProof/>
                <w:webHidden/>
              </w:rPr>
              <w:fldChar w:fldCharType="end"/>
            </w:r>
          </w:hyperlink>
        </w:p>
        <w:p w14:paraId="309BC279" w14:textId="6633187E" w:rsidR="00537F07" w:rsidRDefault="00537F07">
          <w:pPr>
            <w:pStyle w:val="TOC3"/>
            <w:tabs>
              <w:tab w:val="right" w:pos="9060"/>
            </w:tabs>
            <w:rPr>
              <w:rFonts w:asciiTheme="minorHAnsi" w:eastAsiaTheme="minorEastAsia" w:hAnsiTheme="minorHAnsi" w:cstheme="minorBidi"/>
              <w:noProof/>
              <w:color w:val="auto"/>
              <w:kern w:val="2"/>
              <w:sz w:val="24"/>
              <w:szCs w:val="24"/>
              <w:lang w:eastAsia="en-GB"/>
              <w14:ligatures w14:val="standardContextual"/>
            </w:rPr>
          </w:pPr>
          <w:hyperlink w:anchor="_Toc207803407" w:history="1">
            <w:r w:rsidRPr="00D76173">
              <w:rPr>
                <w:rStyle w:val="Hyperlink"/>
                <w:noProof/>
              </w:rPr>
              <w:t>4.3.3 Entry level</w:t>
            </w:r>
            <w:r>
              <w:rPr>
                <w:noProof/>
                <w:webHidden/>
              </w:rPr>
              <w:tab/>
            </w:r>
            <w:r>
              <w:rPr>
                <w:noProof/>
                <w:webHidden/>
              </w:rPr>
              <w:fldChar w:fldCharType="begin"/>
            </w:r>
            <w:r>
              <w:rPr>
                <w:noProof/>
                <w:webHidden/>
              </w:rPr>
              <w:instrText xml:space="preserve"> PAGEREF _Toc207803407 \h </w:instrText>
            </w:r>
            <w:r>
              <w:rPr>
                <w:noProof/>
                <w:webHidden/>
              </w:rPr>
            </w:r>
            <w:r>
              <w:rPr>
                <w:noProof/>
                <w:webHidden/>
              </w:rPr>
              <w:fldChar w:fldCharType="separate"/>
            </w:r>
            <w:r w:rsidR="005677E4">
              <w:rPr>
                <w:noProof/>
                <w:webHidden/>
              </w:rPr>
              <w:t>22</w:t>
            </w:r>
            <w:r>
              <w:rPr>
                <w:noProof/>
                <w:webHidden/>
              </w:rPr>
              <w:fldChar w:fldCharType="end"/>
            </w:r>
          </w:hyperlink>
        </w:p>
        <w:p w14:paraId="628060AA" w14:textId="0FF75E03" w:rsidR="00537F07" w:rsidRDefault="00537F07">
          <w:pPr>
            <w:pStyle w:val="TOC2"/>
            <w:tabs>
              <w:tab w:val="right" w:pos="9060"/>
            </w:tabs>
            <w:rPr>
              <w:rFonts w:asciiTheme="minorHAnsi" w:eastAsiaTheme="minorEastAsia" w:hAnsiTheme="minorHAnsi" w:cstheme="minorBidi"/>
              <w:noProof/>
              <w:color w:val="auto"/>
              <w:kern w:val="2"/>
              <w:szCs w:val="24"/>
              <w:lang w:eastAsia="en-GB"/>
              <w14:ligatures w14:val="standardContextual"/>
            </w:rPr>
          </w:pPr>
          <w:hyperlink w:anchor="_Toc207803408" w:history="1">
            <w:r w:rsidRPr="00D76173">
              <w:rPr>
                <w:rStyle w:val="Hyperlink"/>
                <w:noProof/>
              </w:rPr>
              <w:t>4.4 Assessment of learner competency levels</w:t>
            </w:r>
            <w:r>
              <w:rPr>
                <w:noProof/>
                <w:webHidden/>
              </w:rPr>
              <w:tab/>
            </w:r>
            <w:r>
              <w:rPr>
                <w:noProof/>
                <w:webHidden/>
              </w:rPr>
              <w:fldChar w:fldCharType="begin"/>
            </w:r>
            <w:r>
              <w:rPr>
                <w:noProof/>
                <w:webHidden/>
              </w:rPr>
              <w:instrText xml:space="preserve"> PAGEREF _Toc207803408 \h </w:instrText>
            </w:r>
            <w:r>
              <w:rPr>
                <w:noProof/>
                <w:webHidden/>
              </w:rPr>
            </w:r>
            <w:r>
              <w:rPr>
                <w:noProof/>
                <w:webHidden/>
              </w:rPr>
              <w:fldChar w:fldCharType="separate"/>
            </w:r>
            <w:r w:rsidR="005677E4">
              <w:rPr>
                <w:noProof/>
                <w:webHidden/>
              </w:rPr>
              <w:t>23</w:t>
            </w:r>
            <w:r>
              <w:rPr>
                <w:noProof/>
                <w:webHidden/>
              </w:rPr>
              <w:fldChar w:fldCharType="end"/>
            </w:r>
          </w:hyperlink>
        </w:p>
        <w:p w14:paraId="72094940" w14:textId="30934CAC"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09" w:history="1">
            <w:r w:rsidRPr="00D76173">
              <w:rPr>
                <w:rStyle w:val="Hyperlink"/>
                <w:noProof/>
              </w:rPr>
              <w:t>References</w:t>
            </w:r>
            <w:r>
              <w:rPr>
                <w:noProof/>
                <w:webHidden/>
              </w:rPr>
              <w:tab/>
            </w:r>
            <w:r>
              <w:rPr>
                <w:noProof/>
                <w:webHidden/>
              </w:rPr>
              <w:fldChar w:fldCharType="begin"/>
            </w:r>
            <w:r>
              <w:rPr>
                <w:noProof/>
                <w:webHidden/>
              </w:rPr>
              <w:instrText xml:space="preserve"> PAGEREF _Toc207803409 \h </w:instrText>
            </w:r>
            <w:r>
              <w:rPr>
                <w:noProof/>
                <w:webHidden/>
              </w:rPr>
            </w:r>
            <w:r>
              <w:rPr>
                <w:noProof/>
                <w:webHidden/>
              </w:rPr>
              <w:fldChar w:fldCharType="separate"/>
            </w:r>
            <w:r w:rsidR="005677E4">
              <w:rPr>
                <w:noProof/>
                <w:webHidden/>
              </w:rPr>
              <w:t>24</w:t>
            </w:r>
            <w:r>
              <w:rPr>
                <w:noProof/>
                <w:webHidden/>
              </w:rPr>
              <w:fldChar w:fldCharType="end"/>
            </w:r>
          </w:hyperlink>
        </w:p>
        <w:p w14:paraId="694C00E0" w14:textId="4AA40DD3"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10" w:history="1">
            <w:r w:rsidRPr="00D76173">
              <w:rPr>
                <w:rStyle w:val="Hyperlink"/>
                <w:noProof/>
              </w:rPr>
              <w:t>Appendix 1: Sources consulted during the development of the EDS guidance</w:t>
            </w:r>
            <w:r>
              <w:rPr>
                <w:noProof/>
                <w:webHidden/>
              </w:rPr>
              <w:tab/>
            </w:r>
            <w:r>
              <w:rPr>
                <w:noProof/>
                <w:webHidden/>
              </w:rPr>
              <w:fldChar w:fldCharType="begin"/>
            </w:r>
            <w:r>
              <w:rPr>
                <w:noProof/>
                <w:webHidden/>
              </w:rPr>
              <w:instrText xml:space="preserve"> PAGEREF _Toc207803410 \h </w:instrText>
            </w:r>
            <w:r>
              <w:rPr>
                <w:noProof/>
                <w:webHidden/>
              </w:rPr>
            </w:r>
            <w:r>
              <w:rPr>
                <w:noProof/>
                <w:webHidden/>
              </w:rPr>
              <w:fldChar w:fldCharType="separate"/>
            </w:r>
            <w:r w:rsidR="005677E4">
              <w:rPr>
                <w:noProof/>
                <w:webHidden/>
              </w:rPr>
              <w:t>26</w:t>
            </w:r>
            <w:r>
              <w:rPr>
                <w:noProof/>
                <w:webHidden/>
              </w:rPr>
              <w:fldChar w:fldCharType="end"/>
            </w:r>
          </w:hyperlink>
        </w:p>
        <w:p w14:paraId="23CA8F7B" w14:textId="7F6D4138"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11" w:history="1">
            <w:r w:rsidRPr="00D76173">
              <w:rPr>
                <w:rStyle w:val="Hyperlink"/>
                <w:noProof/>
              </w:rPr>
              <w:t>Appendix 2: EDS competencies profile evidence</w:t>
            </w:r>
            <w:r>
              <w:rPr>
                <w:noProof/>
                <w:webHidden/>
              </w:rPr>
              <w:tab/>
            </w:r>
            <w:r>
              <w:rPr>
                <w:noProof/>
                <w:webHidden/>
              </w:rPr>
              <w:fldChar w:fldCharType="begin"/>
            </w:r>
            <w:r>
              <w:rPr>
                <w:noProof/>
                <w:webHidden/>
              </w:rPr>
              <w:instrText xml:space="preserve"> PAGEREF _Toc207803411 \h </w:instrText>
            </w:r>
            <w:r>
              <w:rPr>
                <w:noProof/>
                <w:webHidden/>
              </w:rPr>
            </w:r>
            <w:r>
              <w:rPr>
                <w:noProof/>
                <w:webHidden/>
              </w:rPr>
              <w:fldChar w:fldCharType="separate"/>
            </w:r>
            <w:r w:rsidR="005677E4">
              <w:rPr>
                <w:noProof/>
                <w:webHidden/>
              </w:rPr>
              <w:t>27</w:t>
            </w:r>
            <w:r>
              <w:rPr>
                <w:noProof/>
                <w:webHidden/>
              </w:rPr>
              <w:fldChar w:fldCharType="end"/>
            </w:r>
          </w:hyperlink>
        </w:p>
        <w:p w14:paraId="2CEF300F" w14:textId="5167C1EB"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12" w:history="1">
            <w:r w:rsidRPr="00D76173">
              <w:rPr>
                <w:rStyle w:val="Hyperlink"/>
                <w:noProof/>
              </w:rPr>
              <w:t>Explanation of terms</w:t>
            </w:r>
            <w:r>
              <w:rPr>
                <w:noProof/>
                <w:webHidden/>
              </w:rPr>
              <w:tab/>
            </w:r>
            <w:r>
              <w:rPr>
                <w:noProof/>
                <w:webHidden/>
              </w:rPr>
              <w:fldChar w:fldCharType="begin"/>
            </w:r>
            <w:r>
              <w:rPr>
                <w:noProof/>
                <w:webHidden/>
              </w:rPr>
              <w:instrText xml:space="preserve"> PAGEREF _Toc207803412 \h </w:instrText>
            </w:r>
            <w:r>
              <w:rPr>
                <w:noProof/>
                <w:webHidden/>
              </w:rPr>
            </w:r>
            <w:r>
              <w:rPr>
                <w:noProof/>
                <w:webHidden/>
              </w:rPr>
              <w:fldChar w:fldCharType="separate"/>
            </w:r>
            <w:r w:rsidR="005677E4">
              <w:rPr>
                <w:noProof/>
                <w:webHidden/>
              </w:rPr>
              <w:t>31</w:t>
            </w:r>
            <w:r>
              <w:rPr>
                <w:noProof/>
                <w:webHidden/>
              </w:rPr>
              <w:fldChar w:fldCharType="end"/>
            </w:r>
          </w:hyperlink>
        </w:p>
        <w:p w14:paraId="6F138923" w14:textId="231E271B"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13" w:history="1">
            <w:r w:rsidRPr="00D76173">
              <w:rPr>
                <w:rStyle w:val="Hyperlink"/>
                <w:noProof/>
              </w:rPr>
              <w:t>Abbreviations and acronyms</w:t>
            </w:r>
            <w:r>
              <w:rPr>
                <w:noProof/>
                <w:webHidden/>
              </w:rPr>
              <w:tab/>
            </w:r>
            <w:r>
              <w:rPr>
                <w:noProof/>
                <w:webHidden/>
              </w:rPr>
              <w:fldChar w:fldCharType="begin"/>
            </w:r>
            <w:r>
              <w:rPr>
                <w:noProof/>
                <w:webHidden/>
              </w:rPr>
              <w:instrText xml:space="preserve"> PAGEREF _Toc207803413 \h </w:instrText>
            </w:r>
            <w:r>
              <w:rPr>
                <w:noProof/>
                <w:webHidden/>
              </w:rPr>
            </w:r>
            <w:r>
              <w:rPr>
                <w:noProof/>
                <w:webHidden/>
              </w:rPr>
              <w:fldChar w:fldCharType="separate"/>
            </w:r>
            <w:r w:rsidR="005677E4">
              <w:rPr>
                <w:noProof/>
                <w:webHidden/>
              </w:rPr>
              <w:t>32</w:t>
            </w:r>
            <w:r>
              <w:rPr>
                <w:noProof/>
                <w:webHidden/>
              </w:rPr>
              <w:fldChar w:fldCharType="end"/>
            </w:r>
          </w:hyperlink>
        </w:p>
        <w:p w14:paraId="5B80EDD0" w14:textId="602BE892" w:rsidR="00537F07" w:rsidRDefault="00537F07">
          <w:pPr>
            <w:pStyle w:val="TOC1"/>
            <w:rPr>
              <w:rFonts w:asciiTheme="minorHAnsi" w:eastAsiaTheme="minorEastAsia" w:hAnsiTheme="minorHAnsi" w:cstheme="minorBidi"/>
              <w:noProof/>
              <w:color w:val="auto"/>
              <w:kern w:val="2"/>
              <w:szCs w:val="24"/>
              <w:lang w:eastAsia="en-GB"/>
              <w14:ligatures w14:val="standardContextual"/>
            </w:rPr>
          </w:pPr>
          <w:hyperlink w:anchor="_Toc207803414" w:history="1">
            <w:r w:rsidRPr="00D76173">
              <w:rPr>
                <w:rStyle w:val="Hyperlink"/>
                <w:noProof/>
              </w:rPr>
              <w:t>Acknowledgements</w:t>
            </w:r>
            <w:r>
              <w:rPr>
                <w:noProof/>
                <w:webHidden/>
              </w:rPr>
              <w:tab/>
            </w:r>
            <w:r>
              <w:rPr>
                <w:noProof/>
                <w:webHidden/>
              </w:rPr>
              <w:fldChar w:fldCharType="begin"/>
            </w:r>
            <w:r>
              <w:rPr>
                <w:noProof/>
                <w:webHidden/>
              </w:rPr>
              <w:instrText xml:space="preserve"> PAGEREF _Toc207803414 \h </w:instrText>
            </w:r>
            <w:r>
              <w:rPr>
                <w:noProof/>
                <w:webHidden/>
              </w:rPr>
            </w:r>
            <w:r>
              <w:rPr>
                <w:noProof/>
                <w:webHidden/>
              </w:rPr>
              <w:fldChar w:fldCharType="separate"/>
            </w:r>
            <w:r w:rsidR="005677E4">
              <w:rPr>
                <w:noProof/>
                <w:webHidden/>
              </w:rPr>
              <w:t>34</w:t>
            </w:r>
            <w:r>
              <w:rPr>
                <w:noProof/>
                <w:webHidden/>
              </w:rPr>
              <w:fldChar w:fldCharType="end"/>
            </w:r>
          </w:hyperlink>
        </w:p>
        <w:p w14:paraId="42A39218" w14:textId="7C302631" w:rsidR="008C65B2" w:rsidRDefault="008C65B2">
          <w:r>
            <w:rPr>
              <w:b/>
              <w:bCs/>
              <w:noProof/>
            </w:rPr>
            <w:fldChar w:fldCharType="end"/>
          </w:r>
        </w:p>
      </w:sdtContent>
    </w:sdt>
    <w:p w14:paraId="6E13B73C" w14:textId="77777777" w:rsidR="00D616FB" w:rsidRDefault="00D616FB">
      <w:pPr>
        <w:rPr>
          <w:rFonts w:ascii="Open Sans Bold" w:eastAsia="Open Sans" w:hAnsi="Open Sans Bold"/>
          <w:bCs/>
          <w:color w:val="102036"/>
          <w:sz w:val="56"/>
          <w:szCs w:val="56"/>
        </w:rPr>
      </w:pPr>
      <w:bookmarkStart w:id="1" w:name="_Toc207803387"/>
      <w:r>
        <w:br w:type="page"/>
      </w:r>
    </w:p>
    <w:p w14:paraId="6FF70A40" w14:textId="3719A675" w:rsidR="00074577" w:rsidRPr="00074577" w:rsidRDefault="00074577" w:rsidP="00AC4A0B">
      <w:pPr>
        <w:pStyle w:val="Heading1"/>
      </w:pPr>
      <w:r w:rsidRPr="00074577">
        <w:lastRenderedPageBreak/>
        <w:t>Executive summary</w:t>
      </w:r>
      <w:bookmarkEnd w:id="0"/>
      <w:bookmarkEnd w:id="1"/>
      <w:r w:rsidRPr="00074577">
        <w:t xml:space="preserve"> </w:t>
      </w:r>
    </w:p>
    <w:p w14:paraId="7351351B" w14:textId="77777777" w:rsidR="00074577" w:rsidRPr="00074577" w:rsidRDefault="00074577" w:rsidP="00074577">
      <w:pPr>
        <w:pStyle w:val="BodyText"/>
        <w:spacing w:before="88" w:line="316" w:lineRule="auto"/>
        <w:ind w:right="-2"/>
      </w:pPr>
      <w:r w:rsidRPr="00074577">
        <w:t xml:space="preserve">SLTs are internationally recognised as a core member of the multidisciplinary team (MDT) supporting people with eating, drinking and swallowing difficulties (EDS). SLTs need appropriate knowledge and skills </w:t>
      </w:r>
      <w:proofErr w:type="gramStart"/>
      <w:r w:rsidRPr="00074577">
        <w:t>in order to</w:t>
      </w:r>
      <w:proofErr w:type="gramEnd"/>
      <w:r w:rsidRPr="00074577">
        <w:t xml:space="preserve"> deliver high-quality, holistic, and person-centred services to meet service-user needs. </w:t>
      </w:r>
    </w:p>
    <w:p w14:paraId="0D6F3064" w14:textId="5B7C16FC" w:rsidR="00074577" w:rsidRPr="00074577" w:rsidRDefault="00074577" w:rsidP="00074577">
      <w:pPr>
        <w:pStyle w:val="BodyText"/>
        <w:spacing w:before="88" w:line="316" w:lineRule="auto"/>
        <w:ind w:right="-2"/>
      </w:pPr>
      <w:r>
        <w:t>With an ageing population, increasing survival rates of newborn babies, and new clinical presentations of novel diseases such as COVID-19 requiring speech and language therapy input, there will be an increase in demand over the coming years for the identification, assessment and management of EDS. We have a professional responsibility to ensure that learners get the opportunity to acquire foundational knowledge and skills in as many clinical areas of speech and language therapy as possible, including EDS during their pre</w:t>
      </w:r>
      <w:r w:rsidR="0A0367D1">
        <w:t>-</w:t>
      </w:r>
      <w:r>
        <w:t xml:space="preserve">registration education and training. </w:t>
      </w:r>
    </w:p>
    <w:p w14:paraId="7DA02F3C" w14:textId="0847204F" w:rsidR="00074577" w:rsidRPr="00074577" w:rsidRDefault="00074577" w:rsidP="00074577">
      <w:pPr>
        <w:pStyle w:val="BodyText"/>
        <w:spacing w:before="88" w:line="316" w:lineRule="auto"/>
        <w:ind w:right="-2"/>
      </w:pPr>
      <w:r w:rsidRPr="00074577">
        <w:t xml:space="preserve">In 2014, the knowledge and skills required to support people with EDS were identified and developed into a framework to guide SLTs along their career path. This framework included the knowledge and skills recommended at the pre-registration level. This document was adopted by the profession in 2014: the RCSLT Dysphagia training and competency framework. </w:t>
      </w:r>
    </w:p>
    <w:p w14:paraId="054118DF" w14:textId="77777777" w:rsidR="00074577" w:rsidRPr="00074577" w:rsidRDefault="00074577" w:rsidP="00074577">
      <w:pPr>
        <w:pStyle w:val="BodyText"/>
        <w:spacing w:before="88" w:line="316" w:lineRule="auto"/>
        <w:ind w:right="-2"/>
      </w:pPr>
      <w:r w:rsidRPr="00074577">
        <w:t xml:space="preserve">With the advent of the COVID-19 pandemic in March 2020 requiring an EDS-ready speech and language therapy workforce, as well as the Mutual Recognition Agreement (MRA) partners highlighting the dissonance of UK pre-registration education and training in EDS with other MRA partners, the need for EDS pre-registration education and training became imperative. </w:t>
      </w:r>
    </w:p>
    <w:p w14:paraId="2D63D118" w14:textId="77777777" w:rsidR="00074577" w:rsidRPr="00074577" w:rsidRDefault="00074577" w:rsidP="00074577">
      <w:pPr>
        <w:pStyle w:val="BodyText"/>
        <w:spacing w:before="88" w:line="316" w:lineRule="auto"/>
        <w:ind w:right="-2"/>
      </w:pPr>
      <w:r w:rsidRPr="00074577">
        <w:t xml:space="preserve">Health Education England (HEE) and the RCSLT identified that newly qualified practitioners (NQPs) must enter the workforce ready to undertake work </w:t>
      </w:r>
      <w:proofErr w:type="gramStart"/>
      <w:r w:rsidRPr="00074577">
        <w:t>in the area of</w:t>
      </w:r>
      <w:proofErr w:type="gramEnd"/>
      <w:r w:rsidRPr="00074577">
        <w:t xml:space="preserve"> EDS, as they do with all other areas in the scope of practice of SLTs. The RCSLT received funding from HEE to complete this UK-wide project. An initial scoping exercise was undertaken, including existing national and international EDS competency frameworks, to ensure that the final product reflected best practice not only across the UK, but also in line with our MRA partners. Many clinical settings and higher education institutions (HEIs) have already developed education and learning opportunities based on the 2014 framework, and thus the content of these competencies will be familiar to educators and practitioners. </w:t>
      </w:r>
    </w:p>
    <w:p w14:paraId="69595464" w14:textId="45D358FC" w:rsidR="00074577" w:rsidRPr="00074577" w:rsidRDefault="00074577" w:rsidP="00074577">
      <w:pPr>
        <w:pStyle w:val="BodyText"/>
        <w:spacing w:before="88" w:line="316" w:lineRule="auto"/>
        <w:ind w:right="-2"/>
      </w:pPr>
      <w:r w:rsidRPr="00074577">
        <w:t>As part of the scoping exercise, the Health and Care Professions Council (HCPC) was informed about these developments. In 2023 the HCPC standards of proficiency were updated to reflect EDS where it is part of an SLTs role.</w:t>
      </w:r>
    </w:p>
    <w:p w14:paraId="230775E5" w14:textId="77777777" w:rsidR="00074577" w:rsidRPr="00074577" w:rsidRDefault="00074577" w:rsidP="00074577">
      <w:pPr>
        <w:pStyle w:val="BodyText"/>
        <w:spacing w:before="88" w:line="316" w:lineRule="auto"/>
        <w:ind w:right="-2"/>
      </w:pPr>
      <w:r w:rsidRPr="00074577">
        <w:lastRenderedPageBreak/>
        <w:t xml:space="preserve">As delivering entry-level EDS competencies requires input from HEIs and clinicians across the UK, we appointed a working group, consisting of one academic representative and one clinical representative from each of the four nations, that supported the two lead authors (one academic and one clinical) in writing these entry-level competencies. We also established an advisory group that provided valuable feedback on key issues during the development process. </w:t>
      </w:r>
    </w:p>
    <w:p w14:paraId="70428571" w14:textId="77777777" w:rsidR="00074577" w:rsidRPr="00074577" w:rsidRDefault="00074577" w:rsidP="00074577">
      <w:pPr>
        <w:pStyle w:val="BodyText"/>
        <w:spacing w:before="88" w:line="316" w:lineRule="auto"/>
        <w:ind w:right="-2"/>
      </w:pPr>
      <w:r w:rsidRPr="00074577">
        <w:t xml:space="preserve">We recognise that not all subjects taught at pre-registration level will continue to be used by every practitioner, but they rightly sit in the pre-registration curriculum. This does not mean that all NQPs are going to be ‘expert’ clinicians across all the areas taught at pre-registration level. It does mean that NQPs will have achieved an entry level of competence across the scope of speech and language therapy practice, including those required to support people with EDS. Knowledge and skills of EDS will optimise holistic patient care. </w:t>
      </w:r>
    </w:p>
    <w:p w14:paraId="4306232E" w14:textId="130BDDF3" w:rsidR="00074577" w:rsidRPr="00074577" w:rsidRDefault="00074577" w:rsidP="00074577">
      <w:pPr>
        <w:pStyle w:val="BodyText"/>
        <w:spacing w:before="88" w:line="316" w:lineRule="auto"/>
        <w:ind w:right="-2"/>
      </w:pPr>
      <w:r>
        <w:t xml:space="preserve">Learners will start to graduate with these competencies in 2024. The expectation is that everyone graduating from a pre-registration speech and language therapy programme by 2026 will have acquired these EDS competencies. Competencies are ideally established across many practice settings and timepoints. Many competencies relating to EDS work can be practised and achieved in communication settings. In the implementation phase of these competencies, there </w:t>
      </w:r>
      <w:proofErr w:type="gramStart"/>
      <w:r>
        <w:t>are  practice</w:t>
      </w:r>
      <w:proofErr w:type="gramEnd"/>
      <w:r>
        <w:t xml:space="preserve"> placement hours that RCSLT recommend </w:t>
      </w:r>
      <w:r w:rsidR="66EFA73C">
        <w:t>include</w:t>
      </w:r>
      <w:r>
        <w:t xml:space="preserve"> EDS elements. As these competencies become embedded in education and practice, it is predicted that EDS will be integrated into the pre-registration learning journey along with all other areas of the SLT scope of practice. </w:t>
      </w:r>
    </w:p>
    <w:p w14:paraId="5D808189" w14:textId="74DAC5DA" w:rsidR="00074577" w:rsidRPr="00074577" w:rsidRDefault="00074577" w:rsidP="00074577">
      <w:pPr>
        <w:pStyle w:val="BodyText"/>
        <w:spacing w:before="88" w:line="316" w:lineRule="auto"/>
        <w:ind w:right="-2"/>
      </w:pPr>
      <w:r>
        <w:t xml:space="preserve">The entry-level </w:t>
      </w:r>
      <w:r w:rsidR="0056269B">
        <w:t>EDS competencies</w:t>
      </w:r>
      <w:r>
        <w:t xml:space="preserve"> in this document clarify how they can be achieved, building on previous RCSLT EDS frameworks. To ensure implementation is successful, we will continue to work collaboratively with health education bodies across the UK, HEIs and clinicians.</w:t>
      </w:r>
    </w:p>
    <w:p w14:paraId="25F65F34" w14:textId="2FE16777" w:rsidR="00074577" w:rsidRPr="00074577" w:rsidRDefault="00074577" w:rsidP="00074577">
      <w:pPr>
        <w:pStyle w:val="BodyText"/>
        <w:spacing w:before="88" w:line="316" w:lineRule="auto"/>
        <w:ind w:right="-2"/>
      </w:pPr>
      <w:r>
        <w:t>The 2014 Dysphagia framework was update</w:t>
      </w:r>
      <w:r w:rsidR="4A8F2A14">
        <w:t>d</w:t>
      </w:r>
      <w:r>
        <w:t xml:space="preserve"> in 2025 and is now called the SLT EDS competency framework. It sets out a clear development framework for SLTs working within EDS from their first role onwards.</w:t>
      </w:r>
    </w:p>
    <w:p w14:paraId="77AF2015" w14:textId="77777777" w:rsidR="00074577" w:rsidRPr="00074577" w:rsidRDefault="00074577" w:rsidP="00074577">
      <w:pPr>
        <w:pStyle w:val="BodyText"/>
        <w:spacing w:before="88" w:line="316" w:lineRule="auto"/>
        <w:ind w:right="-2"/>
      </w:pPr>
      <w:r w:rsidRPr="00074577">
        <w:t xml:space="preserve"> </w:t>
      </w:r>
    </w:p>
    <w:p w14:paraId="146ECFCD" w14:textId="77777777" w:rsidR="00074577" w:rsidRPr="00074577" w:rsidRDefault="00074577" w:rsidP="00074577">
      <w:pPr>
        <w:pStyle w:val="BodyText"/>
        <w:spacing w:before="88" w:line="316" w:lineRule="auto"/>
        <w:ind w:right="-2"/>
      </w:pPr>
      <w:r w:rsidRPr="00074577">
        <w:rPr>
          <w:i/>
        </w:rPr>
        <w:t xml:space="preserve">Judith Broll, director of professional development, RCSLT </w:t>
      </w:r>
    </w:p>
    <w:p w14:paraId="7A269CD9" w14:textId="77777777" w:rsidR="00074577" w:rsidRPr="00074577" w:rsidRDefault="00074577" w:rsidP="00074577">
      <w:pPr>
        <w:pStyle w:val="BodyText"/>
        <w:spacing w:before="88" w:line="316" w:lineRule="auto"/>
        <w:ind w:right="-2"/>
      </w:pPr>
      <w:r w:rsidRPr="00074577">
        <w:rPr>
          <w:i/>
        </w:rPr>
        <w:t xml:space="preserve">Louise Borjes, professional guidance manager, RCSLT </w:t>
      </w:r>
    </w:p>
    <w:p w14:paraId="782B3F55" w14:textId="77777777" w:rsidR="00074577" w:rsidRDefault="00074577">
      <w:pPr>
        <w:rPr>
          <w:rFonts w:ascii="Open Sans Bold" w:eastAsia="Open Sans" w:hAnsi="Open Sans Bold"/>
          <w:bCs/>
          <w:color w:val="102036"/>
          <w:sz w:val="56"/>
          <w:szCs w:val="56"/>
        </w:rPr>
      </w:pPr>
      <w:bookmarkStart w:id="2" w:name="_Toc60006"/>
      <w:r>
        <w:br w:type="page"/>
      </w:r>
    </w:p>
    <w:p w14:paraId="365C2592" w14:textId="3553E3E5" w:rsidR="00074577" w:rsidRPr="00074577" w:rsidRDefault="00AC4A0B" w:rsidP="00AC4A0B">
      <w:pPr>
        <w:pStyle w:val="Heading1"/>
      </w:pPr>
      <w:bookmarkStart w:id="3" w:name="_Toc203664678"/>
      <w:bookmarkStart w:id="4" w:name="_Toc207803388"/>
      <w:r>
        <w:lastRenderedPageBreak/>
        <w:t xml:space="preserve">1. </w:t>
      </w:r>
      <w:r w:rsidR="00074577" w:rsidRPr="00074577">
        <w:t>Introduction</w:t>
      </w:r>
      <w:bookmarkEnd w:id="3"/>
      <w:bookmarkEnd w:id="4"/>
      <w:r w:rsidR="00074577" w:rsidRPr="00074577">
        <w:t xml:space="preserve"> </w:t>
      </w:r>
      <w:bookmarkEnd w:id="2"/>
    </w:p>
    <w:p w14:paraId="081A2BBB" w14:textId="54249F38" w:rsidR="00074577" w:rsidRPr="00074577" w:rsidRDefault="002731E0" w:rsidP="00AC4A0B">
      <w:pPr>
        <w:pStyle w:val="Heading2"/>
      </w:pPr>
      <w:bookmarkStart w:id="5" w:name="_Toc203664679"/>
      <w:bookmarkStart w:id="6" w:name="_Toc207803389"/>
      <w:bookmarkStart w:id="7" w:name="_Toc60007"/>
      <w:r>
        <w:t xml:space="preserve">1.1 </w:t>
      </w:r>
      <w:r w:rsidR="00074577" w:rsidRPr="00074577">
        <w:t>Aims and purpose of this guidance</w:t>
      </w:r>
      <w:bookmarkEnd w:id="5"/>
      <w:bookmarkEnd w:id="6"/>
      <w:r w:rsidR="00074577" w:rsidRPr="00074577">
        <w:t xml:space="preserve"> </w:t>
      </w:r>
      <w:bookmarkEnd w:id="7"/>
    </w:p>
    <w:p w14:paraId="6F0C68AB" w14:textId="604914AF" w:rsidR="00074577" w:rsidRPr="00074577" w:rsidRDefault="00074577" w:rsidP="00074577">
      <w:pPr>
        <w:pStyle w:val="BodyText"/>
        <w:spacing w:before="88" w:line="316" w:lineRule="auto"/>
        <w:ind w:right="-2"/>
      </w:pPr>
      <w:r w:rsidRPr="00074577">
        <w:t xml:space="preserve">This document offers guidance to educational instructors, collaborators and partners on creating innovative and personalised approaches to developing and delivering qualifying SLT experiences </w:t>
      </w:r>
      <w:proofErr w:type="gramStart"/>
      <w:r w:rsidRPr="00074577">
        <w:t>in the area of</w:t>
      </w:r>
      <w:proofErr w:type="gramEnd"/>
      <w:r w:rsidRPr="00074577">
        <w:t xml:space="preserve"> eating, drinking, and swallowing. The RCSLT recognises the diversity of different programme providers and their expertise in developing and delivering high-quality programmes. This document outlines the expected knowledge and competencies of the entry-level SLT and should be referred to alongside the </w:t>
      </w:r>
      <w:hyperlink r:id="rId14" w:history="1">
        <w:r w:rsidRPr="006975EA">
          <w:rPr>
            <w:rStyle w:val="Hyperlink"/>
          </w:rPr>
          <w:t>RCSLT Curriculum guidance (2025)</w:t>
        </w:r>
      </w:hyperlink>
      <w:r w:rsidRPr="00074577">
        <w:t xml:space="preserve"> and the</w:t>
      </w:r>
      <w:r w:rsidRPr="00A42C79">
        <w:t xml:space="preserve"> </w:t>
      </w:r>
      <w:hyperlink r:id="rId15" w:history="1">
        <w:r w:rsidR="000F495A" w:rsidRPr="000F495A">
          <w:rPr>
            <w:rStyle w:val="Hyperlink"/>
          </w:rPr>
          <w:t>HCPC standards of proficiency for SLTs (2023)</w:t>
        </w:r>
      </w:hyperlink>
    </w:p>
    <w:p w14:paraId="4A1849C1" w14:textId="3DE3FBA2" w:rsidR="00074577" w:rsidRPr="00074577" w:rsidRDefault="00074577" w:rsidP="00074577">
      <w:pPr>
        <w:pStyle w:val="BodyText"/>
        <w:spacing w:before="88" w:line="316" w:lineRule="auto"/>
        <w:ind w:right="-2"/>
      </w:pPr>
      <w:r>
        <w:t xml:space="preserve">In line with the </w:t>
      </w:r>
      <w:hyperlink r:id="rId16" w:history="1">
        <w:r w:rsidRPr="006975EA">
          <w:rPr>
            <w:rStyle w:val="Hyperlink"/>
          </w:rPr>
          <w:t>RCSLT Curriculum guidance (2025)</w:t>
        </w:r>
      </w:hyperlink>
      <w:r>
        <w:t xml:space="preserve"> at the point of registration, a graduate in speech and language therapy will be able to work in therapeutic roles with individuals, with practice based on best available evidence. As with all areas of speech and language therapy practice, supervision and support would be expected for the NQP. NQPs will also be able to work in health promotion and in public health, with both individuals and groups in the area of EDS. Foundation level of the SLT EDS competency framework (2025) provides a framework for the support and supervision </w:t>
      </w:r>
      <w:r w:rsidR="041DD0D6">
        <w:t xml:space="preserve">of </w:t>
      </w:r>
      <w:r>
        <w:t xml:space="preserve">an NQP working </w:t>
      </w:r>
      <w:r w:rsidR="14B70EA0">
        <w:t xml:space="preserve">with clients with </w:t>
      </w:r>
      <w:r>
        <w:t>EDS</w:t>
      </w:r>
      <w:r w:rsidR="7F94A736">
        <w:t xml:space="preserve">, and leads on to the level which will enable them </w:t>
      </w:r>
      <w:r>
        <w:t xml:space="preserve"> to work autonomously</w:t>
      </w:r>
      <w:r w:rsidR="2A6A5348">
        <w:t xml:space="preserve"> with this client group</w:t>
      </w:r>
      <w:r>
        <w:t>.</w:t>
      </w:r>
    </w:p>
    <w:p w14:paraId="20D23EAB" w14:textId="7628A110" w:rsidR="00074577" w:rsidRPr="00074577" w:rsidRDefault="00074577" w:rsidP="00074577">
      <w:pPr>
        <w:pStyle w:val="BodyText"/>
        <w:spacing w:before="88" w:line="316" w:lineRule="auto"/>
        <w:ind w:right="-2"/>
      </w:pPr>
      <w:r w:rsidRPr="00074577">
        <w:t xml:space="preserve">For speech and language therapy learners to graduate as highly employable professionals, they need to acquire a broad range of knowledge and transferable skills. The RCSLT understands that these skills will initially be developed in certain settings, and with </w:t>
      </w:r>
      <w:proofErr w:type="gramStart"/>
      <w:r w:rsidRPr="00074577">
        <w:t>particular disorders</w:t>
      </w:r>
      <w:proofErr w:type="gramEnd"/>
      <w:r w:rsidRPr="00074577">
        <w:t>, based on the HEI practice-based learning opportunities. It is expected that these skills will be transferable across clinical settings, in line with the</w:t>
      </w:r>
      <w:r w:rsidRPr="00A72353">
        <w:t xml:space="preserve"> </w:t>
      </w:r>
      <w:hyperlink r:id="rId17">
        <w:r w:rsidRPr="00074577">
          <w:rPr>
            <w:rStyle w:val="Hyperlink"/>
          </w:rPr>
          <w:t>RCSLT NQP goals</w:t>
        </w:r>
      </w:hyperlink>
      <w:hyperlink r:id="rId18">
        <w:r w:rsidRPr="00074577">
          <w:rPr>
            <w:rStyle w:val="Hyperlink"/>
          </w:rPr>
          <w:t xml:space="preserve"> </w:t>
        </w:r>
      </w:hyperlink>
      <w:hyperlink r:id="rId19">
        <w:r w:rsidRPr="00074577">
          <w:rPr>
            <w:rStyle w:val="Hyperlink"/>
          </w:rPr>
          <w:t>(2018)</w:t>
        </w:r>
      </w:hyperlink>
      <w:r w:rsidR="00A72353">
        <w:t>.</w:t>
      </w:r>
    </w:p>
    <w:p w14:paraId="3CBAD986" w14:textId="77777777" w:rsidR="00074577" w:rsidRPr="00074577" w:rsidRDefault="00074577" w:rsidP="00074577">
      <w:pPr>
        <w:pStyle w:val="BodyText"/>
        <w:spacing w:before="88" w:line="316" w:lineRule="auto"/>
        <w:ind w:right="-2"/>
      </w:pPr>
      <w:r w:rsidRPr="00074577">
        <w:t xml:space="preserve">Speech and language therapy learners will develop values, attributes and behaviours that enable them to work confidently and effectively. The RCSLT is committed to supporting our members in becoming actively anti-racist, promoting diversity in the workforce, and meeting the needs of diverse populations of service users. The populations SLTs serve are increasingly diverse in terms of age, social system, culture, and health literacy, and they present with a variety of disorders across many settings. Speech and language therapy learners will be best prepared for practice through theoretical knowledge gained in the classroom and aligned with practice placements across a broad range of settings, and through meeting and working with individuals with EDS </w:t>
      </w:r>
      <w:r w:rsidRPr="00074577">
        <w:lastRenderedPageBreak/>
        <w:t xml:space="preserve">difficulties. </w:t>
      </w:r>
    </w:p>
    <w:p w14:paraId="6737B462" w14:textId="6882F852" w:rsidR="00074577" w:rsidRPr="00074577" w:rsidRDefault="00074577" w:rsidP="00074577">
      <w:pPr>
        <w:pStyle w:val="BodyText"/>
        <w:spacing w:before="88" w:line="316" w:lineRule="auto"/>
        <w:ind w:right="-2"/>
      </w:pPr>
      <w:r>
        <w:t xml:space="preserve">It is not expected that speech and language therapy learners will graduate with a comprehensive knowledge of all EDS difficulties, but </w:t>
      </w:r>
      <w:r w:rsidR="69DA8E0E">
        <w:t xml:space="preserve">that their pre-registration experience </w:t>
      </w:r>
      <w:r>
        <w:t xml:space="preserve">will </w:t>
      </w:r>
      <w:r w:rsidR="5B119DD0">
        <w:t xml:space="preserve">map onto </w:t>
      </w:r>
      <w:r>
        <w:t xml:space="preserve">the foundation level SLT EDS competencies </w:t>
      </w:r>
      <w:r w:rsidR="35E03767">
        <w:t xml:space="preserve">and will act as a basis for them to develop further </w:t>
      </w:r>
      <w:r w:rsidR="0056269B">
        <w:t>skills to</w:t>
      </w:r>
      <w:r>
        <w:t xml:space="preserve"> work autonomously within their chosen clinical area. They will demonstrate professional problem-solving skills where there is considerable variation in the presentation and health needs of service users and the setting for care. </w:t>
      </w:r>
    </w:p>
    <w:p w14:paraId="5F0FF11C" w14:textId="77777777" w:rsidR="00074577" w:rsidRPr="00074577" w:rsidRDefault="00074577" w:rsidP="00074577">
      <w:pPr>
        <w:pStyle w:val="BodyText"/>
        <w:spacing w:before="88" w:line="316" w:lineRule="auto"/>
        <w:ind w:right="-2"/>
      </w:pPr>
      <w:r w:rsidRPr="00074577">
        <w:t xml:space="preserve">With respect to EDS difficulties, this document: </w:t>
      </w:r>
    </w:p>
    <w:p w14:paraId="01A1B364" w14:textId="77777777" w:rsidR="00074577" w:rsidRPr="00074577" w:rsidRDefault="00074577" w:rsidP="002731E0">
      <w:pPr>
        <w:pStyle w:val="BodyText"/>
        <w:numPr>
          <w:ilvl w:val="0"/>
          <w:numId w:val="16"/>
        </w:numPr>
        <w:spacing w:before="88" w:line="316" w:lineRule="auto"/>
        <w:ind w:right="-2"/>
      </w:pPr>
      <w:r w:rsidRPr="00074577">
        <w:t xml:space="preserve">describes what is expected of a new graduate </w:t>
      </w:r>
    </w:p>
    <w:p w14:paraId="336BAC3D" w14:textId="77777777" w:rsidR="00074577" w:rsidRPr="00074577" w:rsidRDefault="00074577" w:rsidP="002731E0">
      <w:pPr>
        <w:pStyle w:val="BodyText"/>
        <w:numPr>
          <w:ilvl w:val="0"/>
          <w:numId w:val="16"/>
        </w:numPr>
        <w:spacing w:before="88" w:line="316" w:lineRule="auto"/>
        <w:ind w:right="-2"/>
      </w:pPr>
      <w:r w:rsidRPr="00074577">
        <w:t xml:space="preserve">describes the RCSLT’s expectations for delivery and content of educational programmes </w:t>
      </w:r>
    </w:p>
    <w:p w14:paraId="44BB80BE" w14:textId="77777777" w:rsidR="00074577" w:rsidRPr="00074577" w:rsidRDefault="00074577" w:rsidP="002731E0">
      <w:pPr>
        <w:pStyle w:val="BodyText"/>
        <w:numPr>
          <w:ilvl w:val="0"/>
          <w:numId w:val="16"/>
        </w:numPr>
        <w:spacing w:before="88" w:line="316" w:lineRule="auto"/>
        <w:ind w:right="-2"/>
      </w:pPr>
      <w:r w:rsidRPr="00074577">
        <w:t xml:space="preserve">reflects the current and foreseeable demands of speech and language therapy practice. </w:t>
      </w:r>
    </w:p>
    <w:p w14:paraId="6846E388" w14:textId="77777777" w:rsidR="00074577" w:rsidRPr="00074577" w:rsidRDefault="00074577" w:rsidP="00074577">
      <w:pPr>
        <w:pStyle w:val="BodyText"/>
        <w:spacing w:before="88" w:line="316" w:lineRule="auto"/>
        <w:ind w:right="-2"/>
      </w:pPr>
      <w:r w:rsidRPr="00074577">
        <w:t xml:space="preserve">In creating this document, the RCSLT has set out a vision for the education of the profession. It details the desired outcomes of pre-registration SLT education related to EDS on completion of the programme. </w:t>
      </w:r>
    </w:p>
    <w:p w14:paraId="0293CD39" w14:textId="43AAEC07" w:rsidR="00074577" w:rsidRPr="00074577" w:rsidRDefault="00074577" w:rsidP="00074577">
      <w:pPr>
        <w:pStyle w:val="BodyText"/>
        <w:spacing w:before="88" w:line="316" w:lineRule="auto"/>
        <w:ind w:right="-2"/>
      </w:pPr>
      <w:r w:rsidRPr="00074577">
        <w:t xml:space="preserve">It is expected that this document will be used as a reference document by representatives of the HCPC, other professional statutory regulatory bodies, and HEIs involved in the accreditation, re-accreditation, quality assurance and review of programmes. </w:t>
      </w:r>
    </w:p>
    <w:p w14:paraId="7B34BDFF" w14:textId="77777777" w:rsidR="00074577" w:rsidRPr="00074577" w:rsidRDefault="00074577" w:rsidP="00074577">
      <w:pPr>
        <w:pStyle w:val="BodyText"/>
        <w:spacing w:before="88" w:line="316" w:lineRule="auto"/>
        <w:ind w:right="-2"/>
      </w:pPr>
      <w:r w:rsidRPr="00074577">
        <w:t xml:space="preserve">This document should be used in conjunction with: </w:t>
      </w:r>
    </w:p>
    <w:p w14:paraId="3169EBFB" w14:textId="65DA7D7A" w:rsidR="00074577" w:rsidRPr="00074577" w:rsidRDefault="00074577" w:rsidP="002731E0">
      <w:pPr>
        <w:pStyle w:val="BodyText"/>
        <w:numPr>
          <w:ilvl w:val="0"/>
          <w:numId w:val="15"/>
        </w:numPr>
        <w:spacing w:before="88" w:line="316" w:lineRule="auto"/>
        <w:ind w:right="-2"/>
      </w:pPr>
      <w:r w:rsidRPr="00074577">
        <w:t xml:space="preserve">the </w:t>
      </w:r>
      <w:hyperlink r:id="rId20" w:history="1">
        <w:r w:rsidR="00082E53" w:rsidRPr="00233C1D">
          <w:rPr>
            <w:rStyle w:val="Hyperlink"/>
          </w:rPr>
          <w:t>HCPC standards of proficiency (2023)</w:t>
        </w:r>
      </w:hyperlink>
    </w:p>
    <w:p w14:paraId="478ECED4" w14:textId="53A556E5" w:rsidR="00074577" w:rsidRPr="00074577" w:rsidRDefault="00074577" w:rsidP="002731E0">
      <w:pPr>
        <w:pStyle w:val="BodyText"/>
        <w:numPr>
          <w:ilvl w:val="0"/>
          <w:numId w:val="15"/>
        </w:numPr>
        <w:spacing w:before="88" w:line="316" w:lineRule="auto"/>
        <w:ind w:right="-2"/>
      </w:pPr>
      <w:r w:rsidRPr="00074577">
        <w:t xml:space="preserve">the </w:t>
      </w:r>
      <w:hyperlink r:id="rId21">
        <w:r w:rsidRPr="00074577">
          <w:rPr>
            <w:rStyle w:val="Hyperlink"/>
          </w:rPr>
          <w:t>HCPC standards of conduct, performance and ethics (2024)</w:t>
        </w:r>
      </w:hyperlink>
      <w:hyperlink r:id="rId22">
        <w:r w:rsidRPr="00074577">
          <w:rPr>
            <w:rStyle w:val="Hyperlink"/>
          </w:rPr>
          <w:t xml:space="preserve"> </w:t>
        </w:r>
      </w:hyperlink>
    </w:p>
    <w:p w14:paraId="4CA18244" w14:textId="77777777" w:rsidR="00074577" w:rsidRPr="00074577" w:rsidRDefault="00074577" w:rsidP="002731E0">
      <w:pPr>
        <w:pStyle w:val="BodyText"/>
        <w:numPr>
          <w:ilvl w:val="0"/>
          <w:numId w:val="15"/>
        </w:numPr>
        <w:spacing w:before="88" w:line="316" w:lineRule="auto"/>
        <w:ind w:right="-2"/>
      </w:pPr>
      <w:r w:rsidRPr="00074577">
        <w:t xml:space="preserve">the </w:t>
      </w:r>
      <w:hyperlink r:id="rId23">
        <w:r w:rsidRPr="00074577">
          <w:rPr>
            <w:rStyle w:val="Hyperlink"/>
          </w:rPr>
          <w:t>HCPC standards of education and training (2017)</w:t>
        </w:r>
      </w:hyperlink>
      <w:hyperlink r:id="rId24">
        <w:r w:rsidRPr="00074577">
          <w:rPr>
            <w:rStyle w:val="Hyperlink"/>
          </w:rPr>
          <w:t xml:space="preserve"> </w:t>
        </w:r>
      </w:hyperlink>
    </w:p>
    <w:p w14:paraId="6B0F5014" w14:textId="77777777" w:rsidR="00074577" w:rsidRPr="00074577" w:rsidRDefault="00074577" w:rsidP="002731E0">
      <w:pPr>
        <w:pStyle w:val="BodyText"/>
        <w:numPr>
          <w:ilvl w:val="0"/>
          <w:numId w:val="15"/>
        </w:numPr>
        <w:spacing w:before="88" w:line="316" w:lineRule="auto"/>
        <w:ind w:right="-2"/>
      </w:pPr>
      <w:r w:rsidRPr="00074577">
        <w:t xml:space="preserve">the </w:t>
      </w:r>
      <w:hyperlink r:id="rId25">
        <w:r w:rsidRPr="00074577">
          <w:rPr>
            <w:rStyle w:val="Hyperlink"/>
          </w:rPr>
          <w:t>HCPC standards of continuing professional development (201</w:t>
        </w:r>
      </w:hyperlink>
      <w:hyperlink r:id="rId26">
        <w:r w:rsidRPr="00074577">
          <w:rPr>
            <w:rStyle w:val="Hyperlink"/>
          </w:rPr>
          <w:t>8</w:t>
        </w:r>
      </w:hyperlink>
      <w:hyperlink r:id="rId27">
        <w:r w:rsidRPr="00074577">
          <w:rPr>
            <w:rStyle w:val="Hyperlink"/>
          </w:rPr>
          <w:t>)</w:t>
        </w:r>
      </w:hyperlink>
      <w:hyperlink r:id="rId28">
        <w:r w:rsidRPr="00074577">
          <w:rPr>
            <w:rStyle w:val="Hyperlink"/>
          </w:rPr>
          <w:t xml:space="preserve"> </w:t>
        </w:r>
      </w:hyperlink>
    </w:p>
    <w:p w14:paraId="45800640" w14:textId="1F715192" w:rsidR="00074577" w:rsidRPr="00074577" w:rsidRDefault="00074577" w:rsidP="002731E0">
      <w:pPr>
        <w:pStyle w:val="BodyText"/>
        <w:numPr>
          <w:ilvl w:val="0"/>
          <w:numId w:val="15"/>
        </w:numPr>
        <w:spacing w:before="88" w:line="316" w:lineRule="auto"/>
        <w:ind w:right="-2"/>
      </w:pPr>
      <w:r>
        <w:t xml:space="preserve">the </w:t>
      </w:r>
      <w:hyperlink r:id="rId29" w:history="1">
        <w:r w:rsidRPr="00087468">
          <w:rPr>
            <w:rStyle w:val="Hyperlink"/>
          </w:rPr>
          <w:t>RCSLT Curriculum guidance (2025)</w:t>
        </w:r>
      </w:hyperlink>
      <w:r>
        <w:t xml:space="preserve"> </w:t>
      </w:r>
    </w:p>
    <w:p w14:paraId="4466740E" w14:textId="51D45B8C" w:rsidR="251A8CD9" w:rsidRDefault="00F62CBC" w:rsidP="6FE73CE5">
      <w:pPr>
        <w:pStyle w:val="BodyText"/>
        <w:numPr>
          <w:ilvl w:val="0"/>
          <w:numId w:val="15"/>
        </w:numPr>
        <w:spacing w:before="88" w:line="316" w:lineRule="auto"/>
        <w:ind w:right="-2"/>
      </w:pPr>
      <w:r>
        <w:t>t</w:t>
      </w:r>
      <w:r w:rsidR="251A8CD9">
        <w:t xml:space="preserve">he </w:t>
      </w:r>
      <w:hyperlink r:id="rId30" w:history="1">
        <w:r w:rsidR="251A8CD9" w:rsidRPr="00EA326B">
          <w:rPr>
            <w:rStyle w:val="Hyperlink"/>
          </w:rPr>
          <w:t>RCSLT practice-based learning guidanc</w:t>
        </w:r>
        <w:r w:rsidR="00ED5CFB">
          <w:rPr>
            <w:rStyle w:val="Hyperlink"/>
          </w:rPr>
          <w:t>e (2025)</w:t>
        </w:r>
      </w:hyperlink>
    </w:p>
    <w:p w14:paraId="5B7CB02C" w14:textId="77777777" w:rsidR="00074577" w:rsidRPr="00074577" w:rsidRDefault="00074577" w:rsidP="002731E0">
      <w:pPr>
        <w:pStyle w:val="BodyText"/>
        <w:numPr>
          <w:ilvl w:val="0"/>
          <w:numId w:val="15"/>
        </w:numPr>
        <w:spacing w:before="88" w:line="316" w:lineRule="auto"/>
        <w:ind w:right="-2"/>
      </w:pPr>
      <w:r w:rsidRPr="00074577">
        <w:t xml:space="preserve">guidance on the </w:t>
      </w:r>
      <w:r w:rsidRPr="00074577">
        <w:rPr>
          <w:u w:val="single"/>
        </w:rPr>
        <w:t>MRA</w:t>
      </w:r>
      <w:r w:rsidRPr="00074577">
        <w:t xml:space="preserve"> (in relation to geographic mobility of learners to and from the UK). </w:t>
      </w:r>
    </w:p>
    <w:p w14:paraId="597F698A" w14:textId="77777777" w:rsidR="00074577" w:rsidRPr="00074577" w:rsidRDefault="00074577" w:rsidP="00074577">
      <w:pPr>
        <w:pStyle w:val="BodyText"/>
        <w:spacing w:before="88" w:line="316" w:lineRule="auto"/>
        <w:ind w:right="-2"/>
      </w:pPr>
      <w:r w:rsidRPr="00074577">
        <w:t xml:space="preserve"> </w:t>
      </w:r>
    </w:p>
    <w:p w14:paraId="0800C002" w14:textId="77777777" w:rsidR="00074577" w:rsidRPr="00074577" w:rsidRDefault="00074577" w:rsidP="00074577">
      <w:pPr>
        <w:pStyle w:val="BodyText"/>
        <w:spacing w:before="88" w:line="316" w:lineRule="auto"/>
        <w:ind w:right="-2"/>
      </w:pPr>
      <w:r w:rsidRPr="00074577">
        <w:t xml:space="preserve"> </w:t>
      </w:r>
    </w:p>
    <w:p w14:paraId="1FD2BD48" w14:textId="77777777" w:rsidR="00074577" w:rsidRPr="00074577" w:rsidRDefault="00074577" w:rsidP="00074577">
      <w:pPr>
        <w:pStyle w:val="BodyText"/>
        <w:spacing w:before="88" w:line="316" w:lineRule="auto"/>
        <w:ind w:right="-2"/>
      </w:pPr>
      <w:r w:rsidRPr="00074577">
        <w:t xml:space="preserve"> </w:t>
      </w:r>
    </w:p>
    <w:p w14:paraId="722951C9" w14:textId="77777777" w:rsidR="002731E0" w:rsidRDefault="002731E0">
      <w:pPr>
        <w:rPr>
          <w:rFonts w:ascii="Open Sans SemiBold" w:eastAsia="Open Sans" w:hAnsi="Open Sans SemiBold"/>
          <w:color w:val="102036"/>
          <w:sz w:val="36"/>
          <w:szCs w:val="36"/>
        </w:rPr>
      </w:pPr>
      <w:bookmarkStart w:id="8" w:name="_Toc60008"/>
      <w:r>
        <w:br w:type="page"/>
      </w:r>
    </w:p>
    <w:p w14:paraId="4892ECED" w14:textId="37494331" w:rsidR="00074577" w:rsidRPr="00AC4A0B" w:rsidRDefault="00AC4A0B" w:rsidP="00115C11">
      <w:pPr>
        <w:pStyle w:val="Heading1"/>
      </w:pPr>
      <w:bookmarkStart w:id="9" w:name="_Toc203664681"/>
      <w:bookmarkStart w:id="10" w:name="_Toc207803390"/>
      <w:bookmarkStart w:id="11" w:name="_Toc60010"/>
      <w:bookmarkEnd w:id="8"/>
      <w:r>
        <w:lastRenderedPageBreak/>
        <w:t xml:space="preserve">2. </w:t>
      </w:r>
      <w:r w:rsidR="00074577" w:rsidRPr="00AC4A0B">
        <w:t>Defining speech and language therapy: speech and language therapy clinical and professional capabilities</w:t>
      </w:r>
      <w:bookmarkEnd w:id="9"/>
      <w:bookmarkEnd w:id="10"/>
      <w:r w:rsidR="00074577" w:rsidRPr="00AC4A0B">
        <w:t xml:space="preserve"> </w:t>
      </w:r>
      <w:bookmarkEnd w:id="11"/>
    </w:p>
    <w:p w14:paraId="4798137E" w14:textId="77777777" w:rsidR="00074577" w:rsidRPr="00074577" w:rsidRDefault="00074577" w:rsidP="00074577">
      <w:pPr>
        <w:pStyle w:val="BodyText"/>
        <w:spacing w:before="88" w:line="316" w:lineRule="auto"/>
        <w:ind w:right="-2"/>
      </w:pPr>
      <w:r w:rsidRPr="00074577">
        <w:t xml:space="preserve">SLTs: </w:t>
      </w:r>
    </w:p>
    <w:p w14:paraId="3030A8FC" w14:textId="77777777" w:rsidR="00074577" w:rsidRPr="00074577" w:rsidRDefault="00074577" w:rsidP="002731E0">
      <w:pPr>
        <w:pStyle w:val="BodyText"/>
        <w:numPr>
          <w:ilvl w:val="0"/>
          <w:numId w:val="17"/>
        </w:numPr>
        <w:spacing w:before="88" w:line="316" w:lineRule="auto"/>
        <w:ind w:right="-2"/>
      </w:pPr>
      <w:r w:rsidRPr="00074577">
        <w:t xml:space="preserve">Are uniquely qualified as experts in EDS science and practice. This enables them to improve outcomes for people who have EDS difficulties. They are the lead professional in the assessment and management of conditions in these areas. </w:t>
      </w:r>
    </w:p>
    <w:p w14:paraId="55CF87B7" w14:textId="1CDCD32D" w:rsidR="00074577" w:rsidRPr="00074577" w:rsidRDefault="00074577" w:rsidP="002731E0">
      <w:pPr>
        <w:pStyle w:val="BodyText"/>
        <w:numPr>
          <w:ilvl w:val="0"/>
          <w:numId w:val="17"/>
        </w:numPr>
        <w:spacing w:before="88" w:line="316" w:lineRule="auto"/>
        <w:ind w:right="-2"/>
      </w:pPr>
      <w:r>
        <w:t xml:space="preserve">Provide assessment, identification, treatment, support and care for infants, children, young people, and adults who may have difficulties with EDS. SLTs work within a variety of contexts, including the NHS, research, higher education, the voluntary sector, the community and social enterprise sector (VCS), education, justice, and independent practice. SLTs work in many settings, from hospital wards and nursing homes, to schools, prisons, and service users’ homes. </w:t>
      </w:r>
    </w:p>
    <w:p w14:paraId="15964BDA" w14:textId="77777777" w:rsidR="00074577" w:rsidRPr="00074577" w:rsidRDefault="00074577" w:rsidP="002731E0">
      <w:pPr>
        <w:pStyle w:val="BodyText"/>
        <w:numPr>
          <w:ilvl w:val="0"/>
          <w:numId w:val="17"/>
        </w:numPr>
        <w:spacing w:before="88" w:line="316" w:lineRule="auto"/>
        <w:ind w:right="-2"/>
      </w:pPr>
      <w:r w:rsidRPr="00074577">
        <w:t xml:space="preserve">Usually work as part of a team alongside other health, education, and social care professionals, and paid and unpaid carers. SLTs provide person-centred care, recognising and valuing the key contribution of the service user and their carer(s) in developing appropriate intervention plans. </w:t>
      </w:r>
    </w:p>
    <w:p w14:paraId="41E8B1E7" w14:textId="711F8614" w:rsidR="00074577" w:rsidRPr="00074577" w:rsidRDefault="00074577" w:rsidP="00074577">
      <w:pPr>
        <w:pStyle w:val="BodyText"/>
        <w:spacing w:before="88" w:line="316" w:lineRule="auto"/>
        <w:ind w:right="-2"/>
      </w:pPr>
      <w:r w:rsidRPr="00074577">
        <w:t xml:space="preserve">Effective and safe speech and language therapy practice requires the assimilation, integration and critical application of professional and practical capabilities derived from the core discipline of speech and language therapy, and from a range of contributing disciplines. </w:t>
      </w:r>
    </w:p>
    <w:p w14:paraId="16FDBE3E" w14:textId="4040FE78" w:rsidR="00074577" w:rsidRPr="00074577" w:rsidRDefault="002731E0" w:rsidP="00115C11">
      <w:pPr>
        <w:pStyle w:val="Heading2"/>
      </w:pPr>
      <w:bookmarkStart w:id="12" w:name="_Toc207803391"/>
      <w:bookmarkStart w:id="13" w:name="_Toc60011"/>
      <w:r>
        <w:t>2.1</w:t>
      </w:r>
      <w:r w:rsidR="004D60D4">
        <w:t xml:space="preserve"> </w:t>
      </w:r>
      <w:r w:rsidR="00074577" w:rsidRPr="00074577">
        <w:t>Communication</w:t>
      </w:r>
      <w:bookmarkEnd w:id="12"/>
      <w:r w:rsidR="00074577" w:rsidRPr="00074577">
        <w:t xml:space="preserve"> </w:t>
      </w:r>
      <w:bookmarkEnd w:id="13"/>
    </w:p>
    <w:p w14:paraId="1F780367" w14:textId="77777777" w:rsidR="00074577" w:rsidRPr="00074577" w:rsidRDefault="00074577" w:rsidP="00074577">
      <w:pPr>
        <w:pStyle w:val="BodyText"/>
        <w:spacing w:before="88" w:line="316" w:lineRule="auto"/>
        <w:ind w:right="-2"/>
      </w:pPr>
      <w:r w:rsidRPr="00074577">
        <w:t xml:space="preserve">The essential capabilities for SLTs are threefold: </w:t>
      </w:r>
    </w:p>
    <w:p w14:paraId="5A2746B5" w14:textId="77777777" w:rsidR="00074577" w:rsidRPr="00074577" w:rsidRDefault="00074577" w:rsidP="002731E0">
      <w:pPr>
        <w:pStyle w:val="BodyText"/>
        <w:numPr>
          <w:ilvl w:val="0"/>
          <w:numId w:val="19"/>
        </w:numPr>
        <w:spacing w:before="88" w:line="316" w:lineRule="auto"/>
        <w:ind w:right="-2"/>
      </w:pPr>
      <w:r w:rsidRPr="00074577">
        <w:t xml:space="preserve">to support service users in developing their abilities </w:t>
      </w:r>
    </w:p>
    <w:p w14:paraId="2FD061C0" w14:textId="77777777" w:rsidR="00074577" w:rsidRPr="00074577" w:rsidRDefault="00074577" w:rsidP="002731E0">
      <w:pPr>
        <w:pStyle w:val="BodyText"/>
        <w:numPr>
          <w:ilvl w:val="0"/>
          <w:numId w:val="19"/>
        </w:numPr>
        <w:spacing w:before="88" w:line="316" w:lineRule="auto"/>
        <w:ind w:right="-2"/>
      </w:pPr>
      <w:r w:rsidRPr="00074577">
        <w:t xml:space="preserve">to support the abilities and methods that others use in their communication with service </w:t>
      </w:r>
      <w:r w:rsidRPr="00074577">
        <w:lastRenderedPageBreak/>
        <w:t xml:space="preserve">users </w:t>
      </w:r>
    </w:p>
    <w:p w14:paraId="6842CDFA" w14:textId="77777777" w:rsidR="00074577" w:rsidRPr="00074577" w:rsidRDefault="00074577" w:rsidP="002731E0">
      <w:pPr>
        <w:pStyle w:val="BodyText"/>
        <w:numPr>
          <w:ilvl w:val="0"/>
          <w:numId w:val="19"/>
        </w:numPr>
        <w:spacing w:before="88" w:line="316" w:lineRule="auto"/>
        <w:ind w:right="-2"/>
      </w:pPr>
      <w:r w:rsidRPr="00074577">
        <w:t xml:space="preserve">crucially, SLTs themselves demonstrate adaptability, self-awareness and sensitivity in their own interactions with service users and members of other agencies. </w:t>
      </w:r>
    </w:p>
    <w:p w14:paraId="65E4D7BE" w14:textId="77777777" w:rsidR="00074577" w:rsidRPr="00074577" w:rsidRDefault="00074577" w:rsidP="00074577">
      <w:pPr>
        <w:pStyle w:val="BodyText"/>
        <w:spacing w:before="88" w:line="316" w:lineRule="auto"/>
        <w:ind w:right="-2"/>
      </w:pPr>
      <w:r w:rsidRPr="00074577">
        <w:t xml:space="preserve">SLTs are ideally placed to recognise and promote often-unheard perspectives, and to work collaboratively to address the key challenges faced by service users with EDS difficulties in whichever setting is most appropriate. The speech and language therapy professional skill </w:t>
      </w:r>
      <w:proofErr w:type="gramStart"/>
      <w:r w:rsidRPr="00074577">
        <w:t>set</w:t>
      </w:r>
      <w:proofErr w:type="gramEnd"/>
      <w:r w:rsidRPr="00074577">
        <w:t xml:space="preserve"> and influence goes beyond the individual: it influences the social, emotional, and cultural wellbeing of the communities in which service users live. </w:t>
      </w:r>
    </w:p>
    <w:p w14:paraId="173591C2" w14:textId="77777777" w:rsidR="00074577" w:rsidRPr="00074577" w:rsidRDefault="00074577" w:rsidP="00074577">
      <w:pPr>
        <w:pStyle w:val="BodyText"/>
        <w:spacing w:before="88" w:line="316" w:lineRule="auto"/>
        <w:ind w:right="-2"/>
      </w:pPr>
      <w:r w:rsidRPr="00074577">
        <w:t xml:space="preserve">Speech and language therapy learners develop professional knowledge and skills related to </w:t>
      </w:r>
    </w:p>
    <w:p w14:paraId="7D256B02" w14:textId="159E47DB" w:rsidR="00074577" w:rsidRPr="00074577" w:rsidRDefault="00074577" w:rsidP="00074577">
      <w:pPr>
        <w:pStyle w:val="BodyText"/>
        <w:spacing w:before="88" w:line="316" w:lineRule="auto"/>
        <w:ind w:right="-2"/>
      </w:pPr>
      <w:r>
        <w:t xml:space="preserve">EDS difficulties through a combination of theoretical and practical education. This is achieved through partnerships between education providers, practice educators and employers providing practice placements. </w:t>
      </w:r>
    </w:p>
    <w:p w14:paraId="1F871A06" w14:textId="79D4CE73" w:rsidR="00074577" w:rsidRPr="00074577" w:rsidRDefault="002731E0" w:rsidP="00115C11">
      <w:pPr>
        <w:pStyle w:val="Heading2"/>
      </w:pPr>
      <w:bookmarkStart w:id="14" w:name="_Toc207803392"/>
      <w:bookmarkStart w:id="15" w:name="_Toc60012"/>
      <w:r>
        <w:t xml:space="preserve">2.2 </w:t>
      </w:r>
      <w:r w:rsidR="00074577" w:rsidRPr="00074577">
        <w:t>Partnerships</w:t>
      </w:r>
      <w:bookmarkEnd w:id="14"/>
      <w:r w:rsidR="00074577" w:rsidRPr="00074577">
        <w:t xml:space="preserve"> </w:t>
      </w:r>
      <w:bookmarkEnd w:id="15"/>
    </w:p>
    <w:p w14:paraId="1CFE1A0B" w14:textId="77777777" w:rsidR="00074577" w:rsidRPr="00074577" w:rsidRDefault="00074577" w:rsidP="00074577">
      <w:pPr>
        <w:pStyle w:val="BodyText"/>
        <w:spacing w:before="88" w:line="316" w:lineRule="auto"/>
        <w:ind w:right="-2"/>
      </w:pPr>
      <w:r w:rsidRPr="00074577">
        <w:t xml:space="preserve">SLTs are uniquely placed to work collaboratively with service users, their families, and other agencies and professionals involved with their care. Knowledge of individual cultural, religious, and psychosocial beliefs is essential to consider in EDS assessments and care plans. SLTs’ expertise in the science of EDS enables them to form and maintain strong collaborative partnerships directly with the people they support. These partnerships promote service user outcomes that transform the lives of people with EDS difficulties. </w:t>
      </w:r>
    </w:p>
    <w:p w14:paraId="5B39E4DF" w14:textId="77777777" w:rsidR="00074577" w:rsidRPr="00074577" w:rsidRDefault="00074577" w:rsidP="00074577">
      <w:pPr>
        <w:pStyle w:val="BodyText"/>
        <w:spacing w:before="88" w:line="316" w:lineRule="auto"/>
        <w:ind w:right="-2"/>
      </w:pPr>
      <w:r w:rsidRPr="00074577">
        <w:t xml:space="preserve">Speech and language therapy learners develop skills and values through interprofessional learning opportunities during initial training, and while on practice placements undertaking partnership working with service users, their families, and other agencies and professionals. </w:t>
      </w:r>
    </w:p>
    <w:p w14:paraId="570E26C9" w14:textId="05914D30" w:rsidR="00074577" w:rsidRPr="00074577" w:rsidRDefault="002731E0" w:rsidP="00115C11">
      <w:pPr>
        <w:pStyle w:val="Heading2"/>
      </w:pPr>
      <w:bookmarkStart w:id="16" w:name="_Toc207803393"/>
      <w:bookmarkStart w:id="17" w:name="_Toc60013"/>
      <w:r>
        <w:t xml:space="preserve">2.3 </w:t>
      </w:r>
      <w:r w:rsidR="00074577" w:rsidRPr="00074577">
        <w:t>Leadership and lifelong learning</w:t>
      </w:r>
      <w:bookmarkEnd w:id="16"/>
      <w:r w:rsidR="00074577" w:rsidRPr="00074577">
        <w:t xml:space="preserve"> </w:t>
      </w:r>
      <w:bookmarkEnd w:id="17"/>
    </w:p>
    <w:p w14:paraId="54F2DCD0" w14:textId="5AAB8CEC" w:rsidR="00074577" w:rsidRPr="00074577" w:rsidRDefault="00074577" w:rsidP="00074577">
      <w:pPr>
        <w:pStyle w:val="BodyText"/>
        <w:spacing w:before="88" w:line="316" w:lineRule="auto"/>
        <w:ind w:right="-2"/>
      </w:pPr>
      <w:r w:rsidRPr="00074577">
        <w:t xml:space="preserve">SLTs lead the management of EDS difficulties to unlock the opportunities and potential for service users to achieve their goals. SLTs need to keep pace with the clinical and professional landscape, be proactive, and lead innovation within their area of practice. </w:t>
      </w:r>
    </w:p>
    <w:p w14:paraId="040DF1B5" w14:textId="77777777" w:rsidR="00074577" w:rsidRPr="00074577" w:rsidRDefault="00074577" w:rsidP="00074577">
      <w:pPr>
        <w:pStyle w:val="BodyText"/>
        <w:spacing w:before="88" w:line="316" w:lineRule="auto"/>
        <w:ind w:right="-2"/>
      </w:pPr>
      <w:r w:rsidRPr="00074577">
        <w:t xml:space="preserve">Speech and language therapy learners are embarking on a lifelong learning journey, enhancing their unique skill set in EDS difficulties to enable them to become confident at engaging with new ideas, to build resilience even in challenging times, and to pave the way for others to do the </w:t>
      </w:r>
      <w:r w:rsidRPr="00074577">
        <w:lastRenderedPageBreak/>
        <w:t xml:space="preserve">same. </w:t>
      </w:r>
    </w:p>
    <w:p w14:paraId="25FE4D93" w14:textId="77777777" w:rsidR="00074577" w:rsidRPr="00074577" w:rsidRDefault="00074577" w:rsidP="00074577">
      <w:pPr>
        <w:pStyle w:val="BodyText"/>
        <w:spacing w:before="88" w:line="316" w:lineRule="auto"/>
        <w:ind w:right="-2"/>
      </w:pPr>
      <w:r w:rsidRPr="00074577">
        <w:t xml:space="preserve">Embracing opportunities to learn and engage in professional networks, on practice placement and in education settings, is essential to the development of the leadership skills needed to innovate and drive improvements in EDS service delivery. </w:t>
      </w:r>
    </w:p>
    <w:p w14:paraId="27F2C94F" w14:textId="556790E4" w:rsidR="00074577" w:rsidRPr="00074577" w:rsidRDefault="002731E0" w:rsidP="00115C11">
      <w:pPr>
        <w:pStyle w:val="Heading2"/>
      </w:pPr>
      <w:bookmarkStart w:id="18" w:name="_Toc207803394"/>
      <w:bookmarkStart w:id="19" w:name="_Toc60014"/>
      <w:r>
        <w:t xml:space="preserve">2.4 </w:t>
      </w:r>
      <w:r w:rsidR="00074577" w:rsidRPr="00074577">
        <w:t>Research and evidence-based practice</w:t>
      </w:r>
      <w:bookmarkEnd w:id="18"/>
      <w:r w:rsidR="00074577" w:rsidRPr="00074577">
        <w:t xml:space="preserve"> </w:t>
      </w:r>
      <w:bookmarkEnd w:id="19"/>
    </w:p>
    <w:p w14:paraId="2821AB6D" w14:textId="77777777" w:rsidR="00074577" w:rsidRPr="00074577" w:rsidRDefault="00074577" w:rsidP="00074577">
      <w:pPr>
        <w:pStyle w:val="BodyText"/>
        <w:spacing w:before="88" w:line="316" w:lineRule="auto"/>
        <w:ind w:right="-2"/>
      </w:pPr>
      <w:r w:rsidRPr="00074577">
        <w:t xml:space="preserve">The expertise that SLTs use to transform lives is rooted in the ability to search for, critically evaluate, and contribute to the body of professional EDS knowledge and best practice. SLTs deliver person-centred, evidenced-informed, and professionally reasoned practice by accessing, evaluating, applying, and informing the latest evidence in relation to EDS. </w:t>
      </w:r>
    </w:p>
    <w:p w14:paraId="2EBA3244" w14:textId="1B87A18F" w:rsidR="00074577" w:rsidRPr="00074577" w:rsidRDefault="00074577" w:rsidP="00074577">
      <w:pPr>
        <w:pStyle w:val="BodyText"/>
        <w:spacing w:before="88" w:line="316" w:lineRule="auto"/>
        <w:ind w:right="-2"/>
      </w:pPr>
      <w:r>
        <w:t xml:space="preserve">Speech and language therapy learners have roles in delivering and informing practice while on practice placement. Throughout their studies they develop their skills to deliver evidence-informed and professionally reasoned practice, supported by theory and practice placement experience. Linking and reflecting on learning and practice are critical for the development of </w:t>
      </w:r>
      <w:r w:rsidR="0056269B">
        <w:t>SLTs professional</w:t>
      </w:r>
      <w:r>
        <w:t xml:space="preserve"> knowledge and skills base relating to EDS difficulties. </w:t>
      </w:r>
    </w:p>
    <w:p w14:paraId="382720FD" w14:textId="038A5E86" w:rsidR="00074577" w:rsidRPr="00074577" w:rsidRDefault="002731E0" w:rsidP="00115C11">
      <w:pPr>
        <w:pStyle w:val="Heading2"/>
      </w:pPr>
      <w:bookmarkStart w:id="20" w:name="_Toc207803395"/>
      <w:bookmarkStart w:id="21" w:name="_Toc60015"/>
      <w:r>
        <w:t xml:space="preserve">2.5 </w:t>
      </w:r>
      <w:r w:rsidR="00074577" w:rsidRPr="00074577">
        <w:t>Professional autonomy and accountability</w:t>
      </w:r>
      <w:bookmarkEnd w:id="20"/>
      <w:r w:rsidR="00074577" w:rsidRPr="00074577">
        <w:t xml:space="preserve"> </w:t>
      </w:r>
      <w:bookmarkEnd w:id="21"/>
    </w:p>
    <w:p w14:paraId="50294BEC" w14:textId="3D80284F" w:rsidR="00074577" w:rsidRPr="00074577" w:rsidRDefault="00074577" w:rsidP="00074577">
      <w:pPr>
        <w:pStyle w:val="BodyText"/>
        <w:spacing w:before="88" w:line="316" w:lineRule="auto"/>
        <w:ind w:right="-2"/>
      </w:pPr>
      <w:r>
        <w:t xml:space="preserve">As regulated health professionals, SLTs have a professional responsibility to be autonomous and accountable for their practice in the field of EDS. Speech and language therapy learners develop their professional autonomy and accountability from the outset of their careers in EDS, as with all other areas of speech and language therapy practice. They develop insight into the professional scope of practice in EDS by working with integrity and a commitment to continuous reflective practice. This learning is supported by practice educators on practice placement and with academic staff in the </w:t>
      </w:r>
      <w:r w:rsidR="001D609B">
        <w:t>university-based</w:t>
      </w:r>
      <w:r w:rsidR="3F0F5A50">
        <w:t xml:space="preserve"> teaching</w:t>
      </w:r>
      <w:r w:rsidR="001D609B">
        <w:t>.</w:t>
      </w:r>
      <w:r>
        <w:t xml:space="preserve"> </w:t>
      </w:r>
    </w:p>
    <w:p w14:paraId="5B52778C" w14:textId="05271440" w:rsidR="00074577" w:rsidRPr="00074577" w:rsidRDefault="002731E0" w:rsidP="00115C11">
      <w:pPr>
        <w:pStyle w:val="Heading2"/>
      </w:pPr>
      <w:bookmarkStart w:id="22" w:name="_Toc203664682"/>
      <w:bookmarkStart w:id="23" w:name="_Toc207803396"/>
      <w:bookmarkStart w:id="24" w:name="_Toc60016"/>
      <w:r>
        <w:t>2.</w:t>
      </w:r>
      <w:r w:rsidR="00744569">
        <w:t>6</w:t>
      </w:r>
      <w:r>
        <w:t xml:space="preserve"> </w:t>
      </w:r>
      <w:r w:rsidR="00074577" w:rsidRPr="00074577">
        <w:t>Competency development</w:t>
      </w:r>
      <w:bookmarkEnd w:id="22"/>
      <w:bookmarkEnd w:id="23"/>
      <w:r w:rsidR="00074577" w:rsidRPr="00074577">
        <w:t xml:space="preserve"> </w:t>
      </w:r>
      <w:bookmarkEnd w:id="24"/>
    </w:p>
    <w:p w14:paraId="05C11566" w14:textId="133371D5" w:rsidR="00074577" w:rsidRPr="00074577" w:rsidRDefault="00074577" w:rsidP="00074577">
      <w:pPr>
        <w:pStyle w:val="BodyText"/>
        <w:spacing w:before="88" w:line="316" w:lineRule="auto"/>
        <w:ind w:right="-2"/>
      </w:pPr>
      <w:r w:rsidRPr="00074577">
        <w:t xml:space="preserve">This guidance is based on the premise that speech and language therapy learners will gain </w:t>
      </w:r>
      <w:r w:rsidRPr="00074577">
        <w:rPr>
          <w:b/>
          <w:i/>
        </w:rPr>
        <w:t>knowledge</w:t>
      </w:r>
      <w:r w:rsidRPr="00074577">
        <w:t xml:space="preserve"> about EDS, and </w:t>
      </w:r>
      <w:r w:rsidRPr="00074577">
        <w:rPr>
          <w:b/>
          <w:i/>
        </w:rPr>
        <w:t>competencies</w:t>
      </w:r>
      <w:r w:rsidRPr="00074577">
        <w:t xml:space="preserve"> across a range of skills. Mastery of knowledge and skills is shared between HEIs and practice-based learning settings. Knowledge is assessed in line with how HEIs structure assessment grading, which may be on a continuum or pass/fail. </w:t>
      </w:r>
    </w:p>
    <w:p w14:paraId="5B5E8DDE" w14:textId="39B4CD8C" w:rsidR="00074577" w:rsidRPr="00074577" w:rsidRDefault="00074577" w:rsidP="00074577">
      <w:pPr>
        <w:pStyle w:val="BodyText"/>
        <w:spacing w:before="88" w:line="316" w:lineRule="auto"/>
        <w:ind w:right="-2"/>
      </w:pPr>
      <w:r>
        <w:lastRenderedPageBreak/>
        <w:t xml:space="preserve">The competency profile in EDS covers the individual skills a qualified SLT needs to support people with EDS difficulties. An individual speech and language therapy learner’s competency profile may be different to that of their peers during their course of study, but by </w:t>
      </w:r>
      <w:r w:rsidR="2803D0B4">
        <w:t xml:space="preserve">completion of the pre-registration </w:t>
      </w:r>
      <w:r w:rsidR="0056269B">
        <w:t>programme, they</w:t>
      </w:r>
      <w:r>
        <w:t xml:space="preserve"> should all be </w:t>
      </w:r>
      <w:r w:rsidR="7EB87872">
        <w:t xml:space="preserve">at an </w:t>
      </w:r>
      <w:r>
        <w:t>equ</w:t>
      </w:r>
      <w:r w:rsidR="382611FC">
        <w:t xml:space="preserve">ivalent level. </w:t>
      </w:r>
    </w:p>
    <w:p w14:paraId="5575771B" w14:textId="77777777" w:rsidR="00074577" w:rsidRPr="00074577" w:rsidRDefault="00074577" w:rsidP="00074577">
      <w:pPr>
        <w:pStyle w:val="BodyText"/>
        <w:spacing w:before="88" w:line="316" w:lineRule="auto"/>
        <w:ind w:right="-2"/>
      </w:pPr>
      <w:r w:rsidRPr="00074577">
        <w:t xml:space="preserve">At the start of their studies, speech and language therapy learners have a minimal knowledge base and limited experience in clinical practice. Speech and language therapy learners are expected to make structured observations of an individual’s eating, drinking, and swallowing, including identification of EDS difficulties. </w:t>
      </w:r>
    </w:p>
    <w:p w14:paraId="16673182" w14:textId="76BA4CEF" w:rsidR="00074577" w:rsidRPr="00074577" w:rsidRDefault="00074577" w:rsidP="00074577">
      <w:pPr>
        <w:pStyle w:val="BodyText"/>
        <w:spacing w:before="88" w:line="316" w:lineRule="auto"/>
        <w:ind w:right="-2"/>
      </w:pPr>
      <w:r>
        <w:t xml:space="preserve">As speech and language therapy learners develop, they will </w:t>
      </w:r>
      <w:r w:rsidR="16978AD4">
        <w:t xml:space="preserve">experience and be able to evidence their skills and knowledge </w:t>
      </w:r>
      <w:r>
        <w:t xml:space="preserve">across an increasing range of competencies. Each individual speech and language therapy learner will achieve </w:t>
      </w:r>
      <w:r w:rsidR="2085C968">
        <w:t xml:space="preserve">the required </w:t>
      </w:r>
      <w:r>
        <w:t xml:space="preserve">competency levels across the </w:t>
      </w:r>
      <w:r w:rsidR="7C8721F2">
        <w:t xml:space="preserve">pre-registration </w:t>
      </w:r>
      <w:r>
        <w:t xml:space="preserve">programme. Individual profiles may differ </w:t>
      </w:r>
      <w:proofErr w:type="gramStart"/>
      <w:r>
        <w:t>during the course of</w:t>
      </w:r>
      <w:proofErr w:type="gramEnd"/>
      <w:r>
        <w:t xml:space="preserve"> study. Time-points for mastery of knowledge and skills may be defined by the HEI and practice placement settings, in recognition of the variation in HEI delivery and local practice placement provision. </w:t>
      </w:r>
    </w:p>
    <w:p w14:paraId="0FE314E2" w14:textId="65F751A1" w:rsidR="00074577" w:rsidRPr="00074577" w:rsidRDefault="00074577">
      <w:pPr>
        <w:pStyle w:val="BodyText"/>
        <w:spacing w:before="88" w:line="316" w:lineRule="auto"/>
        <w:ind w:right="-2"/>
      </w:pPr>
      <w:r>
        <w:t xml:space="preserve">At the point of </w:t>
      </w:r>
      <w:r w:rsidR="366A39EB">
        <w:t xml:space="preserve">completion of the pre-registration programme, </w:t>
      </w:r>
      <w:r>
        <w:t xml:space="preserve">speech and language therapy learners (referred to in this document as ‘entry-level speech and language therapy learners’) will </w:t>
      </w:r>
      <w:r w:rsidR="266D6D52">
        <w:t xml:space="preserve">evidence foundational skills and knowledge </w:t>
      </w:r>
      <w:r>
        <w:t>in the assessment and management of EDS, working with service users and MDTs across health, social care, and education. It is not expected that speech and language therapy learners will</w:t>
      </w:r>
      <w:r w:rsidR="2F71F30B">
        <w:t xml:space="preserve"> enter the workforce</w:t>
      </w:r>
      <w:r>
        <w:t xml:space="preserve"> with a comprehensive knowledge of all EDS difficulties, but that they</w:t>
      </w:r>
      <w:r w:rsidR="64DB32AA">
        <w:t xml:space="preserve"> will engage in and follow the </w:t>
      </w:r>
      <w:hyperlink r:id="rId31" w:history="1">
        <w:r w:rsidR="64DB32AA" w:rsidRPr="00ED5CFB">
          <w:rPr>
            <w:rStyle w:val="Hyperlink"/>
          </w:rPr>
          <w:t>SLT EDS competency framework (2025)</w:t>
        </w:r>
      </w:hyperlink>
      <w:r w:rsidR="64DB32AA">
        <w:t xml:space="preserve"> with appropriate supervision. </w:t>
      </w:r>
      <w:r>
        <w:t xml:space="preserve"> </w:t>
      </w:r>
      <w:r>
        <w:br w:type="page"/>
      </w:r>
    </w:p>
    <w:p w14:paraId="15A4CE9D" w14:textId="11DBB954" w:rsidR="00074577" w:rsidRPr="00074577" w:rsidRDefault="001703B9" w:rsidP="00A109BF">
      <w:pPr>
        <w:pStyle w:val="Heading1"/>
      </w:pPr>
      <w:r>
        <w:lastRenderedPageBreak/>
        <w:t xml:space="preserve">3. </w:t>
      </w:r>
      <w:bookmarkStart w:id="25" w:name="_Toc203664683"/>
      <w:bookmarkStart w:id="26" w:name="_Toc207803397"/>
      <w:bookmarkStart w:id="27" w:name="_Toc60017"/>
      <w:r w:rsidR="00074577" w:rsidRPr="00074577">
        <w:t>Guidance for development and delivery of pre-registration EDS competencies</w:t>
      </w:r>
      <w:bookmarkEnd w:id="25"/>
      <w:bookmarkEnd w:id="26"/>
      <w:r w:rsidR="00074577" w:rsidRPr="00074577">
        <w:t xml:space="preserve"> </w:t>
      </w:r>
      <w:bookmarkEnd w:id="27"/>
    </w:p>
    <w:p w14:paraId="6E970C76" w14:textId="3CB0F532" w:rsidR="00074577" w:rsidRPr="00074577" w:rsidRDefault="00074577" w:rsidP="00074577">
      <w:pPr>
        <w:pStyle w:val="BodyText"/>
        <w:spacing w:before="88" w:line="316" w:lineRule="auto"/>
        <w:ind w:right="-2"/>
      </w:pPr>
      <w:r>
        <w:t xml:space="preserve">Since September 2015, HEIs in the UK have been addressing content relating to EDS, to support speech and language therapy learners as they prepare for this part of the clinical caseload. Many parts of the curriculum already have relevant </w:t>
      </w:r>
      <w:hyperlink r:id="rId32">
        <w:r w:rsidRPr="6FE73CE5">
          <w:rPr>
            <w:rStyle w:val="Hyperlink"/>
          </w:rPr>
          <w:t>HCPC standards of proficiency</w:t>
        </w:r>
      </w:hyperlink>
      <w:hyperlink r:id="rId33">
        <w:r w:rsidRPr="6FE73CE5">
          <w:rPr>
            <w:rStyle w:val="Hyperlink"/>
          </w:rPr>
          <w:t xml:space="preserve"> </w:t>
        </w:r>
      </w:hyperlink>
      <w:hyperlink r:id="rId34">
        <w:r w:rsidRPr="6FE73CE5">
          <w:rPr>
            <w:rStyle w:val="Hyperlink"/>
          </w:rPr>
          <w:t>for SLTs (20</w:t>
        </w:r>
        <w:r w:rsidR="006924DD">
          <w:rPr>
            <w:rStyle w:val="Hyperlink"/>
          </w:rPr>
          <w:t>23</w:t>
        </w:r>
        <w:r w:rsidRPr="6FE73CE5">
          <w:rPr>
            <w:rStyle w:val="Hyperlink"/>
          </w:rPr>
          <w:t>)</w:t>
        </w:r>
      </w:hyperlink>
      <w:hyperlink r:id="rId35">
        <w:r w:rsidRPr="6FE73CE5">
          <w:rPr>
            <w:rStyle w:val="Hyperlink"/>
          </w:rPr>
          <w:t xml:space="preserve"> </w:t>
        </w:r>
      </w:hyperlink>
      <w:r>
        <w:t>(</w:t>
      </w:r>
      <w:proofErr w:type="spellStart"/>
      <w:r>
        <w:t>SoPs</w:t>
      </w:r>
      <w:proofErr w:type="spellEnd"/>
      <w:r>
        <w:t xml:space="preserve">) (see Table 1). </w:t>
      </w:r>
      <w:r w:rsidR="00620719">
        <w:t>For examples of how the practical competencies meet HCPC standards of proficiency please see</w:t>
      </w:r>
      <w:r w:rsidR="00A8490D">
        <w:t xml:space="preserve"> </w:t>
      </w:r>
      <w:hyperlink r:id="rId36" w:history="1">
        <w:r w:rsidR="00A8490D" w:rsidRPr="00F948D0">
          <w:rPr>
            <w:rStyle w:val="Hyperlink"/>
          </w:rPr>
          <w:t>Pre-registration eating, drinking, and swallowing competencies: Practice-based learning examples (2023)</w:t>
        </w:r>
      </w:hyperlink>
      <w:r w:rsidR="000C15EA">
        <w:t>.</w:t>
      </w:r>
    </w:p>
    <w:p w14:paraId="4F83E4A2" w14:textId="3F374B5B" w:rsidR="00074577" w:rsidRPr="00074577" w:rsidRDefault="00074577" w:rsidP="00074577">
      <w:pPr>
        <w:pStyle w:val="BodyText"/>
        <w:spacing w:before="88" w:line="316" w:lineRule="auto"/>
        <w:ind w:right="-2"/>
      </w:pPr>
      <w:r w:rsidRPr="00074577">
        <w:rPr>
          <w:i/>
        </w:rPr>
        <w:t xml:space="preserve">Table 1: Knowledge of EDS and associated disorders mapped </w:t>
      </w:r>
      <w:r w:rsidR="005D0DE2">
        <w:rPr>
          <w:i/>
        </w:rPr>
        <w:t xml:space="preserve">to </w:t>
      </w:r>
      <w:r w:rsidRPr="6FE73CE5">
        <w:rPr>
          <w:i/>
          <w:iCs/>
        </w:rPr>
        <w:t xml:space="preserve">HCPC </w:t>
      </w:r>
      <w:proofErr w:type="spellStart"/>
      <w:r w:rsidRPr="6FE73CE5">
        <w:rPr>
          <w:i/>
          <w:iCs/>
        </w:rPr>
        <w:t>SoPs</w:t>
      </w:r>
      <w:proofErr w:type="spellEnd"/>
      <w:r w:rsidRPr="6FE73CE5">
        <w:rPr>
          <w:i/>
          <w:iCs/>
        </w:rPr>
        <w:t xml:space="preserve"> for SLTs (20</w:t>
      </w:r>
      <w:r w:rsidR="31D10F2D" w:rsidRPr="6FE73CE5">
        <w:rPr>
          <w:i/>
          <w:iCs/>
        </w:rPr>
        <w:t>23</w:t>
      </w:r>
      <w:r w:rsidRPr="6FE73CE5">
        <w:rPr>
          <w:i/>
          <w:iCs/>
        </w:rPr>
        <w:t xml:space="preserve">) </w:t>
      </w:r>
    </w:p>
    <w:tbl>
      <w:tblPr>
        <w:tblW w:w="9345" w:type="dxa"/>
        <w:tblInd w:w="6" w:type="dxa"/>
        <w:tblCellMar>
          <w:top w:w="39" w:type="dxa"/>
          <w:left w:w="107" w:type="dxa"/>
          <w:right w:w="72" w:type="dxa"/>
        </w:tblCellMar>
        <w:tblLook w:val="04A0" w:firstRow="1" w:lastRow="0" w:firstColumn="1" w:lastColumn="0" w:noHBand="0" w:noVBand="1"/>
      </w:tblPr>
      <w:tblGrid>
        <w:gridCol w:w="6226"/>
        <w:gridCol w:w="3119"/>
      </w:tblGrid>
      <w:tr w:rsidR="005D0DE2" w:rsidRPr="00074577" w14:paraId="67ED35BA" w14:textId="77777777" w:rsidTr="00E67F0E">
        <w:trPr>
          <w:trHeight w:val="886"/>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14:paraId="11E6FB36" w14:textId="77777777" w:rsidR="005D0DE2" w:rsidRPr="0017001A" w:rsidRDefault="005D0DE2" w:rsidP="00074577">
            <w:pPr>
              <w:pStyle w:val="BodyText"/>
              <w:spacing w:before="88" w:line="316" w:lineRule="auto"/>
              <w:ind w:right="-2"/>
            </w:pPr>
            <w:r w:rsidRPr="0017001A">
              <w:rPr>
                <w:b/>
              </w:rPr>
              <w:t xml:space="preserve">Knowledge and competency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14:paraId="719E7B4D" w14:textId="4789C0F7" w:rsidR="005D0DE2" w:rsidRPr="00E67F0E" w:rsidRDefault="005D0DE2" w:rsidP="00074577">
            <w:pPr>
              <w:pStyle w:val="BodyText"/>
              <w:spacing w:before="88" w:line="316" w:lineRule="auto"/>
              <w:ind w:right="-2"/>
              <w:rPr>
                <w:b/>
                <w:bCs/>
              </w:rPr>
            </w:pPr>
            <w:r w:rsidRPr="00E67F0E">
              <w:rPr>
                <w:b/>
                <w:bCs/>
              </w:rPr>
              <w:t>HCPC S</w:t>
            </w:r>
            <w:r w:rsidR="0017001A" w:rsidRPr="00E67F0E">
              <w:rPr>
                <w:b/>
                <w:bCs/>
              </w:rPr>
              <w:t xml:space="preserve">tandards of Proficiency </w:t>
            </w:r>
            <w:r w:rsidRPr="00E67F0E">
              <w:rPr>
                <w:b/>
                <w:bCs/>
              </w:rPr>
              <w:t>for</w:t>
            </w:r>
            <w:hyperlink r:id="rId37">
              <w:r w:rsidRPr="00E67F0E">
                <w:rPr>
                  <w:rStyle w:val="Hyperlink"/>
                  <w:b/>
                  <w:bCs/>
                </w:rPr>
                <w:t xml:space="preserve"> </w:t>
              </w:r>
            </w:hyperlink>
            <w:r w:rsidRPr="00E67F0E">
              <w:rPr>
                <w:b/>
                <w:bCs/>
              </w:rPr>
              <w:t>SLTs (2023)</w:t>
            </w:r>
            <w:hyperlink r:id="rId38">
              <w:r w:rsidRPr="00E67F0E">
                <w:rPr>
                  <w:rStyle w:val="Hyperlink"/>
                  <w:b/>
                  <w:bCs/>
                </w:rPr>
                <w:t xml:space="preserve"> </w:t>
              </w:r>
            </w:hyperlink>
          </w:p>
        </w:tc>
      </w:tr>
      <w:tr w:rsidR="005D0DE2" w:rsidRPr="00074577" w14:paraId="731CDA43" w14:textId="77777777" w:rsidTr="00E67F0E">
        <w:trPr>
          <w:trHeight w:val="111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30B0C" w14:textId="77777777" w:rsidR="005D0DE2" w:rsidRPr="0017001A" w:rsidRDefault="005D0DE2" w:rsidP="00074577">
            <w:pPr>
              <w:pStyle w:val="BodyText"/>
              <w:spacing w:before="88" w:line="316" w:lineRule="auto"/>
              <w:ind w:right="-2"/>
            </w:pPr>
            <w:r w:rsidRPr="0017001A">
              <w:t xml:space="preserve">Knowledge of psychological and social impact of EDS and associated disorders on the individual and families/carers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F437C" w14:textId="39123F62" w:rsidR="005D0DE2" w:rsidRPr="0017001A" w:rsidRDefault="005D0DE2" w:rsidP="00074577">
            <w:pPr>
              <w:pStyle w:val="BodyText"/>
              <w:spacing w:before="88" w:line="316" w:lineRule="auto"/>
              <w:ind w:right="-2"/>
            </w:pPr>
            <w:r w:rsidRPr="0017001A">
              <w:t>12.1</w:t>
            </w:r>
            <w:r w:rsidR="0056269B" w:rsidRPr="0017001A">
              <w:t>, 12.9</w:t>
            </w:r>
            <w:r w:rsidRPr="0017001A">
              <w:t>, 12.10, 13.17, 15.2</w:t>
            </w:r>
          </w:p>
        </w:tc>
      </w:tr>
      <w:tr w:rsidR="005D0DE2" w:rsidRPr="00074577" w14:paraId="2042F2B6" w14:textId="77777777" w:rsidTr="00E67F0E">
        <w:trPr>
          <w:trHeight w:val="703"/>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43F6" w14:textId="77777777" w:rsidR="005D0DE2" w:rsidRPr="0017001A" w:rsidRDefault="005D0DE2" w:rsidP="00074577">
            <w:pPr>
              <w:pStyle w:val="BodyText"/>
              <w:spacing w:before="88" w:line="316" w:lineRule="auto"/>
              <w:ind w:right="-2"/>
            </w:pPr>
            <w:r w:rsidRPr="0017001A">
              <w:t xml:space="preserve">Cultural adaptations to EDS required in assessment and management planning to meet the needs of diverse populations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8C7A1" w14:textId="1631782A" w:rsidR="005D0DE2" w:rsidRPr="0017001A" w:rsidRDefault="005D0DE2" w:rsidP="00074577">
            <w:pPr>
              <w:pStyle w:val="BodyText"/>
              <w:spacing w:before="88" w:line="316" w:lineRule="auto"/>
              <w:ind w:right="-2"/>
            </w:pPr>
            <w:r w:rsidRPr="0017001A">
              <w:t>12.5, 12.10, 12.13</w:t>
            </w:r>
          </w:p>
          <w:p w14:paraId="2F350664" w14:textId="57534D0D" w:rsidR="005D0DE2" w:rsidRPr="0017001A" w:rsidRDefault="005D0DE2" w:rsidP="00074577">
            <w:pPr>
              <w:pStyle w:val="BodyText"/>
              <w:spacing w:before="88" w:line="316" w:lineRule="auto"/>
              <w:ind w:right="-2"/>
            </w:pPr>
            <w:r w:rsidRPr="0017001A">
              <w:t>5.1, 5.2, 5.3, 5.5, 5.6, 13.20</w:t>
            </w:r>
          </w:p>
        </w:tc>
      </w:tr>
      <w:tr w:rsidR="005D0DE2" w:rsidRPr="00074577" w14:paraId="4D9D7F9D" w14:textId="77777777" w:rsidTr="00E67F0E">
        <w:trPr>
          <w:trHeight w:val="293"/>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F56D" w14:textId="77777777" w:rsidR="005D0DE2" w:rsidRPr="0017001A" w:rsidRDefault="005D0DE2" w:rsidP="00074577">
            <w:pPr>
              <w:pStyle w:val="BodyText"/>
              <w:spacing w:before="88" w:line="316" w:lineRule="auto"/>
              <w:ind w:right="-2"/>
            </w:pPr>
            <w:r w:rsidRPr="0017001A">
              <w:t xml:space="preserve">Anatomy and physiology of the head and neck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FDD5" w14:textId="4FC18576" w:rsidR="005D0DE2" w:rsidRPr="0017001A" w:rsidRDefault="0056269B" w:rsidP="00074577">
            <w:pPr>
              <w:pStyle w:val="BodyText"/>
              <w:spacing w:before="88" w:line="316" w:lineRule="auto"/>
              <w:ind w:right="-2"/>
            </w:pPr>
            <w:r w:rsidRPr="0017001A">
              <w:t>12.1,</w:t>
            </w:r>
            <w:r w:rsidR="005D0DE2" w:rsidRPr="0017001A">
              <w:t xml:space="preserve"> 12.8</w:t>
            </w:r>
          </w:p>
        </w:tc>
      </w:tr>
      <w:tr w:rsidR="005D0DE2" w:rsidRPr="00074577" w14:paraId="7473ABA4" w14:textId="77777777" w:rsidTr="00E67F0E">
        <w:trPr>
          <w:trHeight w:val="67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57C75" w14:textId="77777777" w:rsidR="005D0DE2" w:rsidRPr="0017001A" w:rsidRDefault="005D0DE2" w:rsidP="00074577">
            <w:pPr>
              <w:pStyle w:val="BodyText"/>
              <w:spacing w:before="88" w:line="316" w:lineRule="auto"/>
              <w:ind w:right="-2"/>
            </w:pPr>
            <w:r w:rsidRPr="0017001A">
              <w:t xml:space="preserve">Neurology and neurophysiology, including the neurology of swallowing and the coordination of respiration, swallowing and phonation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0CF0B" w14:textId="3591F1F0" w:rsidR="005D0DE2" w:rsidRPr="0017001A" w:rsidRDefault="0056269B" w:rsidP="00074577">
            <w:pPr>
              <w:pStyle w:val="BodyText"/>
              <w:spacing w:before="88" w:line="316" w:lineRule="auto"/>
              <w:ind w:right="-2"/>
            </w:pPr>
            <w:r w:rsidRPr="0017001A">
              <w:t>12.1,</w:t>
            </w:r>
            <w:r w:rsidR="005D0DE2" w:rsidRPr="0017001A">
              <w:t xml:space="preserve"> 12.8</w:t>
            </w:r>
          </w:p>
        </w:tc>
      </w:tr>
      <w:tr w:rsidR="005D0DE2" w:rsidRPr="00074577" w14:paraId="60E8961A" w14:textId="77777777" w:rsidTr="00E67F0E">
        <w:trPr>
          <w:trHeight w:val="451"/>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C99D5" w14:textId="77777777" w:rsidR="005D0DE2" w:rsidRPr="0017001A" w:rsidRDefault="005D0DE2" w:rsidP="00074577">
            <w:pPr>
              <w:pStyle w:val="BodyText"/>
              <w:spacing w:before="88" w:line="316" w:lineRule="auto"/>
              <w:ind w:right="-2"/>
            </w:pPr>
            <w:r w:rsidRPr="0017001A">
              <w:t xml:space="preserve">Oral motor functioning in relation to speech and EDS skills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CA5FD" w14:textId="070B88B2" w:rsidR="005D0DE2" w:rsidRPr="0017001A" w:rsidRDefault="005D0DE2" w:rsidP="00074577">
            <w:pPr>
              <w:pStyle w:val="BodyText"/>
              <w:spacing w:before="88" w:line="316" w:lineRule="auto"/>
              <w:ind w:right="-2"/>
            </w:pPr>
            <w:r w:rsidRPr="0017001A">
              <w:t xml:space="preserve"> 12.1, 12.8</w:t>
            </w:r>
          </w:p>
        </w:tc>
      </w:tr>
      <w:tr w:rsidR="005D0DE2" w:rsidRPr="00074577" w14:paraId="68A76605"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35051" w14:textId="77777777" w:rsidR="005D0DE2" w:rsidRPr="0017001A" w:rsidRDefault="005D0DE2" w:rsidP="00074577">
            <w:pPr>
              <w:pStyle w:val="BodyText"/>
              <w:spacing w:before="88" w:line="316" w:lineRule="auto"/>
              <w:ind w:right="-2"/>
            </w:pPr>
            <w:r w:rsidRPr="0017001A">
              <w:t xml:space="preserve">The normal swallow throughout the lifespan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10987" w14:textId="644BF994" w:rsidR="005D0DE2" w:rsidRPr="0017001A" w:rsidRDefault="005D0DE2" w:rsidP="00074577">
            <w:pPr>
              <w:pStyle w:val="BodyText"/>
              <w:spacing w:before="88" w:line="316" w:lineRule="auto"/>
              <w:ind w:right="-2"/>
            </w:pPr>
            <w:r w:rsidRPr="0017001A">
              <w:t xml:space="preserve">12.1, 12.8 </w:t>
            </w:r>
          </w:p>
        </w:tc>
      </w:tr>
      <w:tr w:rsidR="005D0DE2" w:rsidRPr="00074577" w14:paraId="3229139B" w14:textId="77777777" w:rsidTr="00E67F0E">
        <w:trPr>
          <w:trHeight w:val="67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1AFD2" w14:textId="77777777" w:rsidR="005D0DE2" w:rsidRPr="0017001A" w:rsidRDefault="005D0DE2" w:rsidP="00074577">
            <w:pPr>
              <w:pStyle w:val="BodyText"/>
              <w:spacing w:before="88" w:line="316" w:lineRule="auto"/>
              <w:ind w:right="-2"/>
            </w:pPr>
            <w:r w:rsidRPr="0017001A">
              <w:t xml:space="preserve">Atypical and disordered EDS patterns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66FBA" w14:textId="1DBD190E" w:rsidR="005D0DE2" w:rsidRPr="0017001A" w:rsidRDefault="005D0DE2" w:rsidP="00074577">
            <w:pPr>
              <w:pStyle w:val="BodyText"/>
              <w:spacing w:before="88" w:line="316" w:lineRule="auto"/>
              <w:ind w:right="-2"/>
            </w:pPr>
            <w:r w:rsidRPr="0017001A">
              <w:t xml:space="preserve">12.8, 12.9, 12,12 </w:t>
            </w:r>
          </w:p>
        </w:tc>
      </w:tr>
      <w:tr w:rsidR="005D0DE2" w:rsidRPr="00074577" w14:paraId="1F770F1F"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D66" w14:textId="77777777" w:rsidR="005D0DE2" w:rsidRPr="0017001A" w:rsidRDefault="005D0DE2" w:rsidP="00074577">
            <w:pPr>
              <w:pStyle w:val="BodyText"/>
              <w:spacing w:before="88" w:line="316" w:lineRule="auto"/>
              <w:ind w:right="-2"/>
            </w:pPr>
            <w:r w:rsidRPr="0017001A">
              <w:t xml:space="preserve">Professional terminology specific to the area of EDS and </w:t>
            </w:r>
            <w:r w:rsidRPr="0017001A">
              <w:lastRenderedPageBreak/>
              <w:t xml:space="preserve">associated disorders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952B7" w14:textId="5A3376F2" w:rsidR="005D0DE2" w:rsidRPr="0017001A" w:rsidRDefault="005D0DE2" w:rsidP="00074577">
            <w:pPr>
              <w:pStyle w:val="BodyText"/>
              <w:spacing w:before="88" w:line="316" w:lineRule="auto"/>
              <w:ind w:right="-2"/>
            </w:pPr>
            <w:r w:rsidRPr="0017001A">
              <w:lastRenderedPageBreak/>
              <w:t xml:space="preserve"> 7.7</w:t>
            </w:r>
          </w:p>
        </w:tc>
      </w:tr>
      <w:tr w:rsidR="005D0DE2" w:rsidRPr="00074577" w14:paraId="51EA1A6A"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ED88" w14:textId="77777777" w:rsidR="005D0DE2" w:rsidRPr="0017001A" w:rsidRDefault="005D0DE2" w:rsidP="00074577">
            <w:pPr>
              <w:pStyle w:val="BodyText"/>
              <w:spacing w:before="88" w:line="316" w:lineRule="auto"/>
              <w:ind w:right="-2"/>
            </w:pPr>
            <w:r w:rsidRPr="0017001A">
              <w:t xml:space="preserve">Role and scope of practice of SLT working with EDS and associated disorders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C29BE" w14:textId="056E0193" w:rsidR="005D0DE2" w:rsidRPr="0017001A" w:rsidRDefault="005D0DE2" w:rsidP="00074577">
            <w:pPr>
              <w:pStyle w:val="BodyText"/>
              <w:spacing w:before="88" w:line="316" w:lineRule="auto"/>
              <w:ind w:right="-2"/>
            </w:pPr>
            <w:r w:rsidRPr="0017001A">
              <w:t xml:space="preserve"> 1.1</w:t>
            </w:r>
          </w:p>
        </w:tc>
      </w:tr>
      <w:tr w:rsidR="005D0DE2" w:rsidRPr="00074577" w14:paraId="24714260" w14:textId="77777777" w:rsidTr="00E67F0E">
        <w:trPr>
          <w:trHeight w:val="293"/>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3DC9" w14:textId="77777777" w:rsidR="005D0DE2" w:rsidRPr="00E67F0E" w:rsidRDefault="005D0DE2" w:rsidP="00074577">
            <w:pPr>
              <w:pStyle w:val="BodyText"/>
              <w:spacing w:before="88" w:line="316" w:lineRule="auto"/>
              <w:ind w:right="-2"/>
            </w:pPr>
            <w:r w:rsidRPr="00E67F0E">
              <w:t xml:space="preserve">Roles and scope of practice of MDT members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B351C" w14:textId="13BB8F4F" w:rsidR="005D0DE2" w:rsidRPr="00E67F0E" w:rsidRDefault="005D0DE2" w:rsidP="00074577">
            <w:pPr>
              <w:pStyle w:val="BodyText"/>
              <w:spacing w:before="88" w:line="316" w:lineRule="auto"/>
              <w:ind w:right="-2"/>
            </w:pPr>
            <w:r w:rsidRPr="00E67F0E">
              <w:t xml:space="preserve">8.1, 8.4, 8.13, 8.14 </w:t>
            </w:r>
          </w:p>
        </w:tc>
      </w:tr>
      <w:tr w:rsidR="005D0DE2" w:rsidRPr="00074577" w14:paraId="11CA4406" w14:textId="77777777" w:rsidTr="00E67F0E">
        <w:trPr>
          <w:trHeight w:val="451"/>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C1021" w14:textId="77777777" w:rsidR="005D0DE2" w:rsidRPr="00E67F0E" w:rsidRDefault="005D0DE2" w:rsidP="00074577">
            <w:pPr>
              <w:pStyle w:val="BodyText"/>
              <w:spacing w:before="88" w:line="316" w:lineRule="auto"/>
              <w:ind w:right="-2"/>
            </w:pPr>
            <w:r w:rsidRPr="00E67F0E">
              <w:t xml:space="preserve">Risk-management policies and procedures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D8093" w14:textId="1B7CAAEE" w:rsidR="005D0DE2" w:rsidRPr="00E67F0E" w:rsidRDefault="005D0DE2" w:rsidP="00074577">
            <w:pPr>
              <w:pStyle w:val="BodyText"/>
              <w:spacing w:before="88" w:line="316" w:lineRule="auto"/>
              <w:ind w:right="-2"/>
            </w:pPr>
            <w:r w:rsidRPr="00E67F0E">
              <w:t>1.2,</w:t>
            </w:r>
            <w:r w:rsidR="00E67F0E">
              <w:t xml:space="preserve"> </w:t>
            </w:r>
            <w:r w:rsidRPr="00E67F0E">
              <w:t xml:space="preserve">2.10 </w:t>
            </w:r>
          </w:p>
        </w:tc>
      </w:tr>
      <w:tr w:rsidR="005D0DE2" w:rsidRPr="00074577" w14:paraId="43322B10"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4BA3" w14:textId="77777777" w:rsidR="005D0DE2" w:rsidRPr="00E67F0E" w:rsidRDefault="005D0DE2" w:rsidP="00074577">
            <w:pPr>
              <w:pStyle w:val="BodyText"/>
              <w:spacing w:before="88" w:line="316" w:lineRule="auto"/>
              <w:ind w:right="-2"/>
            </w:pPr>
            <w:r w:rsidRPr="00E67F0E">
              <w:t xml:space="preserve">Ethical, legal, and service influences on decision making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B95E3" w14:textId="09D479EC" w:rsidR="005D0DE2" w:rsidRPr="00E67F0E" w:rsidRDefault="005D0DE2" w:rsidP="00074577">
            <w:pPr>
              <w:pStyle w:val="BodyText"/>
              <w:spacing w:before="88" w:line="316" w:lineRule="auto"/>
              <w:ind w:right="-2"/>
            </w:pPr>
            <w:r w:rsidRPr="00E67F0E">
              <w:t xml:space="preserve">5.1,5.2, 5.3, 5.5, 5.6, 2.12, 2.10 </w:t>
            </w:r>
          </w:p>
        </w:tc>
      </w:tr>
      <w:tr w:rsidR="005D0DE2" w:rsidRPr="00074577" w14:paraId="3666F3F9"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AD98E" w14:textId="77777777" w:rsidR="005D0DE2" w:rsidRPr="00E67F0E" w:rsidRDefault="005D0DE2" w:rsidP="00074577">
            <w:pPr>
              <w:pStyle w:val="BodyText"/>
              <w:spacing w:before="88" w:line="316" w:lineRule="auto"/>
              <w:ind w:right="-2"/>
            </w:pPr>
            <w:r w:rsidRPr="00E67F0E">
              <w:t xml:space="preserve">Referral processes and typical clinical pathways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010F2" w14:textId="0D64EB97" w:rsidR="005D0DE2" w:rsidRPr="00E67F0E" w:rsidRDefault="005D0DE2" w:rsidP="00074577">
            <w:pPr>
              <w:pStyle w:val="BodyText"/>
              <w:spacing w:before="88" w:line="316" w:lineRule="auto"/>
              <w:ind w:right="-2"/>
            </w:pPr>
            <w:r w:rsidRPr="00E67F0E">
              <w:t xml:space="preserve"> 13.2, 4.4</w:t>
            </w:r>
          </w:p>
        </w:tc>
      </w:tr>
      <w:tr w:rsidR="005D0DE2" w:rsidRPr="00074577" w14:paraId="4452C6CE"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A6C0E" w14:textId="77777777" w:rsidR="005D0DE2" w:rsidRPr="00E67F0E" w:rsidRDefault="005D0DE2" w:rsidP="00074577">
            <w:pPr>
              <w:pStyle w:val="BodyText"/>
              <w:spacing w:before="88" w:line="316" w:lineRule="auto"/>
              <w:ind w:right="-2"/>
            </w:pPr>
            <w:r w:rsidRPr="00E67F0E">
              <w:t xml:space="preserve">Aetiology of EDS difficulties and implications for management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5DC9" w14:textId="53D09C8A" w:rsidR="005D0DE2" w:rsidRPr="00E67F0E" w:rsidRDefault="005D0DE2" w:rsidP="00074577">
            <w:pPr>
              <w:pStyle w:val="BodyText"/>
              <w:spacing w:before="88" w:line="316" w:lineRule="auto"/>
              <w:ind w:right="-2"/>
            </w:pPr>
            <w:r w:rsidRPr="00E67F0E">
              <w:t xml:space="preserve">12.1, 12.5, 12.8, 12.9, 12.12 </w:t>
            </w:r>
          </w:p>
        </w:tc>
      </w:tr>
      <w:tr w:rsidR="005D0DE2" w:rsidRPr="00074577" w14:paraId="2E3C3D81" w14:textId="77777777" w:rsidTr="00E67F0E">
        <w:trPr>
          <w:trHeight w:val="451"/>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19E0F" w14:textId="77777777" w:rsidR="005D0DE2" w:rsidRPr="00E67F0E" w:rsidRDefault="005D0DE2" w:rsidP="00074577">
            <w:pPr>
              <w:pStyle w:val="BodyText"/>
              <w:spacing w:before="88" w:line="316" w:lineRule="auto"/>
              <w:ind w:right="-2"/>
            </w:pPr>
            <w:r w:rsidRPr="00E67F0E">
              <w:t xml:space="preserve">Key factors to be identified from case notes and history prior to and during assessment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DA9" w14:textId="5B729CAA" w:rsidR="005D0DE2" w:rsidRPr="00E67F0E" w:rsidRDefault="005D0DE2" w:rsidP="00074577">
            <w:pPr>
              <w:pStyle w:val="BodyText"/>
              <w:spacing w:before="88" w:line="316" w:lineRule="auto"/>
              <w:ind w:right="-2"/>
            </w:pPr>
            <w:r w:rsidRPr="00E67F0E">
              <w:t xml:space="preserve">13.2, 13.3,  </w:t>
            </w:r>
          </w:p>
        </w:tc>
      </w:tr>
      <w:tr w:rsidR="005D0DE2" w:rsidRPr="00074577" w14:paraId="3F3FFF69"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040EC" w14:textId="77777777" w:rsidR="005D0DE2" w:rsidRPr="00E67F0E" w:rsidRDefault="005D0DE2" w:rsidP="00074577">
            <w:pPr>
              <w:pStyle w:val="BodyText"/>
              <w:spacing w:before="88" w:line="316" w:lineRule="auto"/>
              <w:ind w:right="-2"/>
            </w:pPr>
            <w:r w:rsidRPr="00E67F0E">
              <w:t xml:space="preserve">Commonly used assessments in EDS and associated disorders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AB78" w14:textId="33E26C1C" w:rsidR="005D0DE2" w:rsidRPr="00E67F0E" w:rsidRDefault="005D0DE2" w:rsidP="00074577">
            <w:pPr>
              <w:pStyle w:val="BodyText"/>
              <w:spacing w:before="88" w:line="316" w:lineRule="auto"/>
              <w:ind w:right="-2"/>
            </w:pPr>
            <w:r w:rsidRPr="00E67F0E">
              <w:t xml:space="preserve">13.4 </w:t>
            </w:r>
          </w:p>
        </w:tc>
      </w:tr>
      <w:tr w:rsidR="005D0DE2" w:rsidRPr="00074577" w14:paraId="54EA2F2A" w14:textId="77777777" w:rsidTr="00E67F0E">
        <w:trPr>
          <w:trHeight w:val="886"/>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14:paraId="15363517" w14:textId="77777777" w:rsidR="005D0DE2" w:rsidRPr="00E67F0E" w:rsidRDefault="005D0DE2" w:rsidP="00074577">
            <w:pPr>
              <w:pStyle w:val="BodyText"/>
              <w:spacing w:before="88" w:line="316" w:lineRule="auto"/>
              <w:ind w:right="-2"/>
            </w:pPr>
            <w:r w:rsidRPr="00E67F0E">
              <w:rPr>
                <w:b/>
              </w:rPr>
              <w:t xml:space="preserve">Knowledge and competency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Pr>
          <w:p w14:paraId="275A793F" w14:textId="609DB57C" w:rsidR="005D0DE2" w:rsidRPr="00E67F0E" w:rsidRDefault="00E67F0E" w:rsidP="00074577">
            <w:pPr>
              <w:pStyle w:val="BodyText"/>
              <w:spacing w:before="88" w:line="316" w:lineRule="auto"/>
              <w:ind w:right="-2"/>
            </w:pPr>
            <w:r w:rsidRPr="00E67F0E">
              <w:rPr>
                <w:b/>
              </w:rPr>
              <w:t>HCPC Standards of Proficiency for SLTs</w:t>
            </w:r>
          </w:p>
        </w:tc>
      </w:tr>
      <w:tr w:rsidR="005D0DE2" w:rsidRPr="00074577" w14:paraId="0B2CA9C0" w14:textId="77777777" w:rsidTr="00E67F0E">
        <w:trPr>
          <w:trHeight w:val="452"/>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50D3" w14:textId="77777777" w:rsidR="005D0DE2" w:rsidRPr="00E67F0E" w:rsidRDefault="005D0DE2" w:rsidP="00074577">
            <w:pPr>
              <w:pStyle w:val="BodyText"/>
              <w:spacing w:before="88" w:line="316" w:lineRule="auto"/>
              <w:ind w:right="-2"/>
            </w:pPr>
            <w:r w:rsidRPr="00E67F0E">
              <w:t xml:space="preserve">Recognise indicators for instrumental assessment e.g. videofluoroscopy, endoscopy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C3F14" w14:textId="0CC44957" w:rsidR="005D0DE2" w:rsidRPr="00E67F0E" w:rsidRDefault="005D0DE2" w:rsidP="00074577">
            <w:pPr>
              <w:pStyle w:val="BodyText"/>
              <w:spacing w:before="88" w:line="316" w:lineRule="auto"/>
              <w:ind w:right="-2"/>
            </w:pPr>
            <w:r w:rsidRPr="00E67F0E">
              <w:t xml:space="preserve">13.6 13.12 </w:t>
            </w:r>
          </w:p>
        </w:tc>
      </w:tr>
      <w:tr w:rsidR="005D0DE2" w:rsidRPr="00074577" w14:paraId="7D78DAEE" w14:textId="77777777" w:rsidTr="00E67F0E">
        <w:trPr>
          <w:trHeight w:val="667"/>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E92A" w14:textId="77777777" w:rsidR="005D0DE2" w:rsidRPr="00E67F0E" w:rsidRDefault="005D0DE2" w:rsidP="00074577">
            <w:pPr>
              <w:pStyle w:val="BodyText"/>
              <w:spacing w:before="88" w:line="316" w:lineRule="auto"/>
              <w:ind w:right="-2"/>
            </w:pPr>
            <w:r w:rsidRPr="00E67F0E">
              <w:t xml:space="preserve">Differential diagnosis and management intervention processes for service users with EDS difficulties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C5CA" w14:textId="105F6366" w:rsidR="005D0DE2" w:rsidRPr="00E67F0E" w:rsidRDefault="005D0DE2" w:rsidP="00074577">
            <w:pPr>
              <w:pStyle w:val="BodyText"/>
              <w:spacing w:before="88" w:line="316" w:lineRule="auto"/>
              <w:ind w:right="-2"/>
            </w:pPr>
            <w:r w:rsidRPr="00E67F0E">
              <w:t xml:space="preserve">13.19, 13.20 13.14,  </w:t>
            </w:r>
          </w:p>
        </w:tc>
      </w:tr>
      <w:tr w:rsidR="005D0DE2" w:rsidRPr="00074577" w14:paraId="145CF61C" w14:textId="77777777" w:rsidTr="00E67F0E">
        <w:trPr>
          <w:trHeight w:val="89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CE21" w14:textId="77777777" w:rsidR="005D0DE2" w:rsidRPr="00E67F0E" w:rsidRDefault="005D0DE2" w:rsidP="00074577">
            <w:pPr>
              <w:pStyle w:val="BodyText"/>
              <w:spacing w:before="88" w:line="316" w:lineRule="auto"/>
              <w:ind w:right="-2"/>
            </w:pPr>
            <w:r w:rsidRPr="00E67F0E">
              <w:t xml:space="preserve">Awareness of needs of service users with complex conditions including neonates, people with tracheostomies, those who are ventilator dependant, or have rare conditions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FD79" w14:textId="2A7DB253" w:rsidR="005D0DE2" w:rsidRPr="00E67F0E" w:rsidRDefault="005D0DE2" w:rsidP="00074577">
            <w:pPr>
              <w:pStyle w:val="BodyText"/>
              <w:spacing w:before="88" w:line="316" w:lineRule="auto"/>
              <w:ind w:right="-2"/>
            </w:pPr>
            <w:r w:rsidRPr="00E67F0E">
              <w:t>12.12, 13.19</w:t>
            </w:r>
          </w:p>
        </w:tc>
      </w:tr>
      <w:tr w:rsidR="005D0DE2" w:rsidRPr="00074577" w14:paraId="208083D9" w14:textId="77777777" w:rsidTr="00E67F0E">
        <w:trPr>
          <w:trHeight w:val="67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A39E8" w14:textId="77777777" w:rsidR="005D0DE2" w:rsidRPr="00E67F0E" w:rsidRDefault="005D0DE2" w:rsidP="00074577">
            <w:pPr>
              <w:pStyle w:val="BodyText"/>
              <w:spacing w:before="88" w:line="316" w:lineRule="auto"/>
              <w:ind w:right="-2"/>
            </w:pPr>
            <w:r w:rsidRPr="00E67F0E">
              <w:t xml:space="preserve">Signs and symptoms of oesophageal dysphagia </w:t>
            </w:r>
          </w:p>
          <w:p w14:paraId="196C59CB" w14:textId="77777777" w:rsidR="005D0DE2" w:rsidRPr="00E67F0E" w:rsidRDefault="005D0DE2" w:rsidP="00074577">
            <w:pPr>
              <w:pStyle w:val="BodyText"/>
              <w:spacing w:before="88" w:line="316" w:lineRule="auto"/>
              <w:ind w:right="-2"/>
            </w:pPr>
            <w:r w:rsidRPr="00E67F0E">
              <w:t xml:space="preserve">to assist in differential diagnosis with oropharyngeal dysphagia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FF541" w14:textId="4F212F87" w:rsidR="005D0DE2" w:rsidRPr="00E67F0E" w:rsidRDefault="005D0DE2" w:rsidP="00074577">
            <w:pPr>
              <w:pStyle w:val="BodyText"/>
              <w:spacing w:before="88" w:line="316" w:lineRule="auto"/>
              <w:ind w:right="-2"/>
            </w:pPr>
            <w:r w:rsidRPr="00E67F0E">
              <w:t xml:space="preserve">13.14, 13.19, 13.20 </w:t>
            </w:r>
          </w:p>
        </w:tc>
      </w:tr>
      <w:tr w:rsidR="005D0DE2" w:rsidRPr="00074577" w14:paraId="4139C12C"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EF60" w14:textId="77777777" w:rsidR="005D0DE2" w:rsidRPr="00E67F0E" w:rsidRDefault="005D0DE2" w:rsidP="00074577">
            <w:pPr>
              <w:pStyle w:val="BodyText"/>
              <w:spacing w:before="88" w:line="316" w:lineRule="auto"/>
              <w:ind w:right="-2"/>
            </w:pPr>
            <w:r w:rsidRPr="00E67F0E">
              <w:t xml:space="preserve">Prognostic indicators in common case presentation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C6920" w14:textId="61BB2193" w:rsidR="005D0DE2" w:rsidRPr="00E67F0E" w:rsidRDefault="005D0DE2" w:rsidP="00074577">
            <w:pPr>
              <w:pStyle w:val="BodyText"/>
              <w:spacing w:before="88" w:line="316" w:lineRule="auto"/>
              <w:ind w:right="-2"/>
            </w:pPr>
            <w:r w:rsidRPr="00E67F0E">
              <w:t xml:space="preserve">13.19, 13.20 </w:t>
            </w:r>
          </w:p>
        </w:tc>
      </w:tr>
      <w:tr w:rsidR="005D0DE2" w:rsidRPr="00074577" w14:paraId="72E560C5"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98F0" w14:textId="77777777" w:rsidR="005D0DE2" w:rsidRPr="00E67F0E" w:rsidRDefault="005D0DE2" w:rsidP="00074577">
            <w:pPr>
              <w:pStyle w:val="BodyText"/>
              <w:spacing w:before="88" w:line="316" w:lineRule="auto"/>
              <w:ind w:right="-2"/>
            </w:pPr>
            <w:r w:rsidRPr="00E67F0E">
              <w:t xml:space="preserve">Caseload management and service delivery practices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2919" w14:textId="61A3B0DA" w:rsidR="005D0DE2" w:rsidRPr="00E67F0E" w:rsidRDefault="005D0DE2" w:rsidP="00074577">
            <w:pPr>
              <w:pStyle w:val="BodyText"/>
              <w:spacing w:before="88" w:line="316" w:lineRule="auto"/>
              <w:ind w:right="-2"/>
            </w:pPr>
            <w:r w:rsidRPr="00E67F0E">
              <w:t>1.2</w:t>
            </w:r>
          </w:p>
        </w:tc>
      </w:tr>
      <w:tr w:rsidR="005D0DE2" w:rsidRPr="00074577" w14:paraId="52C19B0B" w14:textId="77777777" w:rsidTr="00E67F0E">
        <w:trPr>
          <w:trHeight w:val="890"/>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E6AB6" w14:textId="77777777" w:rsidR="005D0DE2" w:rsidRPr="00E67F0E" w:rsidRDefault="005D0DE2" w:rsidP="00074577">
            <w:pPr>
              <w:pStyle w:val="BodyText"/>
              <w:spacing w:before="88" w:line="316" w:lineRule="auto"/>
              <w:ind w:right="-2"/>
            </w:pPr>
            <w:r w:rsidRPr="00E67F0E">
              <w:t xml:space="preserve">Carer and service-user roles in management plans/intervention programmes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E8E6" w14:textId="4F51B825" w:rsidR="005D0DE2" w:rsidRPr="00E67F0E" w:rsidRDefault="005D0DE2" w:rsidP="00074577">
            <w:pPr>
              <w:pStyle w:val="BodyText"/>
              <w:spacing w:before="88" w:line="316" w:lineRule="auto"/>
              <w:ind w:right="-2"/>
            </w:pPr>
            <w:r w:rsidRPr="00E67F0E">
              <w:t xml:space="preserve">11.2, 7.4, 8.1,  </w:t>
            </w:r>
          </w:p>
        </w:tc>
      </w:tr>
      <w:tr w:rsidR="005D0DE2" w:rsidRPr="00074577" w14:paraId="47ACE373"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5C684" w14:textId="77777777" w:rsidR="005D0DE2" w:rsidRPr="00E67F0E" w:rsidRDefault="005D0DE2" w:rsidP="00074577">
            <w:pPr>
              <w:pStyle w:val="BodyText"/>
              <w:spacing w:before="88" w:line="316" w:lineRule="auto"/>
              <w:ind w:right="-2"/>
            </w:pPr>
            <w:r w:rsidRPr="00E67F0E">
              <w:lastRenderedPageBreak/>
              <w:t xml:space="preserve">Up-to-date, evidence-based management/intervention strategies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CAF45" w14:textId="42D9BFC9" w:rsidR="005D0DE2" w:rsidRPr="00E67F0E" w:rsidRDefault="005D0DE2" w:rsidP="00074577">
            <w:pPr>
              <w:pStyle w:val="BodyText"/>
              <w:spacing w:before="88" w:line="316" w:lineRule="auto"/>
              <w:ind w:right="-2"/>
            </w:pPr>
            <w:r w:rsidRPr="00E67F0E">
              <w:t xml:space="preserve">1.3, 4.7, 4.8,  </w:t>
            </w:r>
          </w:p>
        </w:tc>
      </w:tr>
      <w:tr w:rsidR="005D0DE2" w:rsidRPr="00074577" w14:paraId="3807BA66" w14:textId="77777777" w:rsidTr="00E67F0E">
        <w:trPr>
          <w:trHeight w:val="449"/>
        </w:trPr>
        <w:tc>
          <w:tcPr>
            <w:tcW w:w="6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9682" w14:textId="77777777" w:rsidR="005D0DE2" w:rsidRPr="00E67F0E" w:rsidRDefault="005D0DE2" w:rsidP="00074577">
            <w:pPr>
              <w:pStyle w:val="BodyText"/>
              <w:spacing w:before="88" w:line="316" w:lineRule="auto"/>
              <w:ind w:right="-2"/>
            </w:pPr>
            <w:r w:rsidRPr="00E67F0E">
              <w:t xml:space="preserve">Non-oral feeding options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C574" w14:textId="0198CD54" w:rsidR="005D0DE2" w:rsidRPr="00E67F0E" w:rsidRDefault="005D0DE2" w:rsidP="00074577">
            <w:pPr>
              <w:pStyle w:val="BodyText"/>
              <w:spacing w:before="88" w:line="316" w:lineRule="auto"/>
              <w:ind w:right="-2"/>
            </w:pPr>
            <w:r w:rsidRPr="00E67F0E">
              <w:t xml:space="preserve">8.13, 2.12 </w:t>
            </w:r>
          </w:p>
        </w:tc>
      </w:tr>
    </w:tbl>
    <w:p w14:paraId="6A5180EC" w14:textId="77777777" w:rsidR="00E67F0E" w:rsidRDefault="00E67F0E" w:rsidP="00074577">
      <w:pPr>
        <w:pStyle w:val="BodyText"/>
        <w:spacing w:before="88" w:line="316" w:lineRule="auto"/>
        <w:ind w:right="-2"/>
      </w:pPr>
    </w:p>
    <w:p w14:paraId="1B86AAEE" w14:textId="5ADBFA0D" w:rsidR="00074577" w:rsidRPr="00074577" w:rsidRDefault="00074577" w:rsidP="00074577">
      <w:pPr>
        <w:pStyle w:val="BodyText"/>
        <w:spacing w:before="88" w:line="316" w:lineRule="auto"/>
        <w:ind w:right="-2"/>
      </w:pPr>
      <w:r>
        <w:t xml:space="preserve">Programme learning outcomes are summarised below. It is up to each HEI to determine where and how the knowledge is delivered across the curriculum. Clear tracking of this to evidence the learning is important for the reasons outlined in Section 1.2. </w:t>
      </w:r>
    </w:p>
    <w:p w14:paraId="18583811" w14:textId="5438182B" w:rsidR="00074577" w:rsidRPr="00657A24" w:rsidRDefault="00170661" w:rsidP="00115C11">
      <w:pPr>
        <w:pStyle w:val="Heading2"/>
      </w:pPr>
      <w:bookmarkStart w:id="28" w:name="_Toc203664684"/>
      <w:bookmarkStart w:id="29" w:name="_Toc207803398"/>
      <w:bookmarkStart w:id="30" w:name="_Toc60018"/>
      <w:r>
        <w:t xml:space="preserve">3.1 </w:t>
      </w:r>
      <w:r w:rsidR="00074577" w:rsidRPr="00657A24">
        <w:t>Learning outcomes</w:t>
      </w:r>
      <w:bookmarkEnd w:id="28"/>
      <w:bookmarkEnd w:id="29"/>
      <w:r w:rsidR="00074577" w:rsidRPr="00657A24">
        <w:t xml:space="preserve"> </w:t>
      </w:r>
      <w:bookmarkEnd w:id="30"/>
    </w:p>
    <w:p w14:paraId="0B6BA238" w14:textId="5EE98CE6" w:rsidR="00074577" w:rsidRPr="00074577" w:rsidRDefault="00487A06" w:rsidP="00115C11">
      <w:pPr>
        <w:pStyle w:val="Heading3"/>
      </w:pPr>
      <w:bookmarkStart w:id="31" w:name="_Toc207803399"/>
      <w:bookmarkStart w:id="32" w:name="_Toc60019"/>
      <w:r>
        <w:t xml:space="preserve">3.1.1 </w:t>
      </w:r>
      <w:r w:rsidR="00074577" w:rsidRPr="00074577">
        <w:t>Entry-level EDS knowledge</w:t>
      </w:r>
      <w:bookmarkEnd w:id="31"/>
      <w:r w:rsidR="00074577" w:rsidRPr="00074577">
        <w:t xml:space="preserve"> </w:t>
      </w:r>
      <w:bookmarkEnd w:id="32"/>
    </w:p>
    <w:p w14:paraId="3B3B011B" w14:textId="77777777" w:rsidR="00074577" w:rsidRPr="00074577" w:rsidRDefault="00074577" w:rsidP="00074577">
      <w:pPr>
        <w:pStyle w:val="BodyText"/>
        <w:spacing w:before="88" w:line="316" w:lineRule="auto"/>
        <w:ind w:right="-2"/>
      </w:pPr>
      <w:r w:rsidRPr="00074577">
        <w:t xml:space="preserve">At the end of their pre-registration education and training, speech and language therapy learners will demonstrate knowledge of: </w:t>
      </w:r>
    </w:p>
    <w:p w14:paraId="61A63C94" w14:textId="77777777" w:rsidR="00074577" w:rsidRPr="00074577" w:rsidRDefault="00074577" w:rsidP="00487A06">
      <w:pPr>
        <w:pStyle w:val="BodyText"/>
        <w:numPr>
          <w:ilvl w:val="0"/>
          <w:numId w:val="21"/>
        </w:numPr>
        <w:spacing w:before="88" w:line="316" w:lineRule="auto"/>
        <w:ind w:right="-2"/>
      </w:pPr>
      <w:r w:rsidRPr="00074577">
        <w:t xml:space="preserve">neuroanatomy and neurology involved in oropharyngeal function </w:t>
      </w:r>
    </w:p>
    <w:p w14:paraId="416ED674" w14:textId="77777777" w:rsidR="00074577" w:rsidRPr="00074577" w:rsidRDefault="00074577" w:rsidP="00487A06">
      <w:pPr>
        <w:pStyle w:val="BodyText"/>
        <w:numPr>
          <w:ilvl w:val="0"/>
          <w:numId w:val="21"/>
        </w:numPr>
        <w:spacing w:before="88" w:line="316" w:lineRule="auto"/>
        <w:ind w:right="-2"/>
      </w:pPr>
      <w:r w:rsidRPr="00074577">
        <w:t xml:space="preserve">the influence of EDS on health and general wellbeing </w:t>
      </w:r>
    </w:p>
    <w:p w14:paraId="5425EE11" w14:textId="77777777" w:rsidR="00074577" w:rsidRPr="00074577" w:rsidRDefault="00074577" w:rsidP="00487A06">
      <w:pPr>
        <w:pStyle w:val="BodyText"/>
        <w:numPr>
          <w:ilvl w:val="0"/>
          <w:numId w:val="21"/>
        </w:numPr>
        <w:spacing w:before="88" w:line="316" w:lineRule="auto"/>
        <w:ind w:right="-2"/>
      </w:pPr>
      <w:r w:rsidRPr="00074577">
        <w:t xml:space="preserve">normal EDS anatomy, and physiology of the upper gastro-intestinal tract over the life span </w:t>
      </w:r>
    </w:p>
    <w:p w14:paraId="4E2AD86B" w14:textId="77777777" w:rsidR="00074577" w:rsidRPr="00074577" w:rsidRDefault="00074577" w:rsidP="00487A06">
      <w:pPr>
        <w:pStyle w:val="BodyText"/>
        <w:numPr>
          <w:ilvl w:val="0"/>
          <w:numId w:val="21"/>
        </w:numPr>
        <w:spacing w:before="88" w:line="316" w:lineRule="auto"/>
        <w:ind w:right="-2"/>
      </w:pPr>
      <w:r w:rsidRPr="00074577">
        <w:t xml:space="preserve">factors causing or associated with EDS difficulties and the progress of conditions </w:t>
      </w:r>
    </w:p>
    <w:p w14:paraId="5CBD5D55" w14:textId="77777777" w:rsidR="00074577" w:rsidRPr="00074577" w:rsidRDefault="00074577" w:rsidP="00487A06">
      <w:pPr>
        <w:pStyle w:val="BodyText"/>
        <w:numPr>
          <w:ilvl w:val="0"/>
          <w:numId w:val="21"/>
        </w:numPr>
        <w:spacing w:before="88" w:line="316" w:lineRule="auto"/>
        <w:ind w:right="-2"/>
      </w:pPr>
      <w:r w:rsidRPr="00074577">
        <w:t xml:space="preserve">basic principles underlying health and safety policies and procedures, and application to professional working and to service users at risk of EDS difficulties </w:t>
      </w:r>
    </w:p>
    <w:p w14:paraId="67B26543" w14:textId="77777777" w:rsidR="00074577" w:rsidRPr="00074577" w:rsidRDefault="00074577" w:rsidP="00487A06">
      <w:pPr>
        <w:pStyle w:val="BodyText"/>
        <w:numPr>
          <w:ilvl w:val="0"/>
          <w:numId w:val="21"/>
        </w:numPr>
        <w:spacing w:before="88" w:line="316" w:lineRule="auto"/>
        <w:ind w:right="-2"/>
      </w:pPr>
      <w:r w:rsidRPr="00074577">
        <w:t xml:space="preserve">the role and scope of practice of the SLT working </w:t>
      </w:r>
      <w:proofErr w:type="gramStart"/>
      <w:r w:rsidRPr="00074577">
        <w:t>in the area of</w:t>
      </w:r>
      <w:proofErr w:type="gramEnd"/>
      <w:r w:rsidRPr="00074577">
        <w:t xml:space="preserve"> EDS </w:t>
      </w:r>
    </w:p>
    <w:p w14:paraId="41E39DF2" w14:textId="77777777" w:rsidR="00074577" w:rsidRPr="00074577" w:rsidRDefault="00074577" w:rsidP="00487A06">
      <w:pPr>
        <w:pStyle w:val="BodyText"/>
        <w:numPr>
          <w:ilvl w:val="0"/>
          <w:numId w:val="21"/>
        </w:numPr>
        <w:spacing w:before="88" w:line="316" w:lineRule="auto"/>
        <w:ind w:right="-2"/>
      </w:pPr>
      <w:r w:rsidRPr="00074577">
        <w:t xml:space="preserve">the roles and scope of practice of MDT members working </w:t>
      </w:r>
      <w:proofErr w:type="gramStart"/>
      <w:r w:rsidRPr="00074577">
        <w:t>in the area of</w:t>
      </w:r>
      <w:proofErr w:type="gramEnd"/>
      <w:r w:rsidRPr="00074577">
        <w:t xml:space="preserve"> EDS </w:t>
      </w:r>
    </w:p>
    <w:p w14:paraId="542F2840" w14:textId="77777777" w:rsidR="00074577" w:rsidRPr="00074577" w:rsidRDefault="00074577" w:rsidP="00487A06">
      <w:pPr>
        <w:pStyle w:val="BodyText"/>
        <w:numPr>
          <w:ilvl w:val="0"/>
          <w:numId w:val="21"/>
        </w:numPr>
        <w:spacing w:before="88" w:line="316" w:lineRule="auto"/>
        <w:ind w:right="-2"/>
      </w:pPr>
      <w:r w:rsidRPr="00074577">
        <w:t xml:space="preserve">appropriate terminology in EDS and impairment, assessment, and management </w:t>
      </w:r>
    </w:p>
    <w:p w14:paraId="30280933" w14:textId="77777777" w:rsidR="00074577" w:rsidRPr="00074577" w:rsidRDefault="00074577" w:rsidP="00487A06">
      <w:pPr>
        <w:pStyle w:val="BodyText"/>
        <w:numPr>
          <w:ilvl w:val="0"/>
          <w:numId w:val="21"/>
        </w:numPr>
        <w:spacing w:before="88" w:line="316" w:lineRule="auto"/>
        <w:ind w:right="-2"/>
      </w:pPr>
      <w:r w:rsidRPr="00074577">
        <w:t xml:space="preserve">a range of evidence-based rehabilitation and compensatory techniques </w:t>
      </w:r>
    </w:p>
    <w:p w14:paraId="0AF5BD3A" w14:textId="77777777" w:rsidR="00074577" w:rsidRPr="00074577" w:rsidRDefault="00074577" w:rsidP="00487A06">
      <w:pPr>
        <w:pStyle w:val="BodyText"/>
        <w:numPr>
          <w:ilvl w:val="0"/>
          <w:numId w:val="21"/>
        </w:numPr>
        <w:spacing w:before="88" w:line="316" w:lineRule="auto"/>
        <w:ind w:right="-2"/>
      </w:pPr>
      <w:r w:rsidRPr="00074577">
        <w:t xml:space="preserve">the need and routes for appropriate referral to other MDT members </w:t>
      </w:r>
    </w:p>
    <w:p w14:paraId="1069096E" w14:textId="77777777" w:rsidR="00074577" w:rsidRPr="00074577" w:rsidRDefault="00074577" w:rsidP="00487A06">
      <w:pPr>
        <w:pStyle w:val="BodyText"/>
        <w:numPr>
          <w:ilvl w:val="0"/>
          <w:numId w:val="21"/>
        </w:numPr>
        <w:spacing w:before="88" w:line="316" w:lineRule="auto"/>
        <w:ind w:right="-2"/>
      </w:pPr>
      <w:r w:rsidRPr="00074577">
        <w:t xml:space="preserve">the impact of local policies and procedures on case management </w:t>
      </w:r>
    </w:p>
    <w:p w14:paraId="289B6CA5" w14:textId="77777777" w:rsidR="00074577" w:rsidRPr="00074577" w:rsidRDefault="00074577" w:rsidP="00487A06">
      <w:pPr>
        <w:pStyle w:val="BodyText"/>
        <w:numPr>
          <w:ilvl w:val="0"/>
          <w:numId w:val="21"/>
        </w:numPr>
        <w:spacing w:before="88" w:line="316" w:lineRule="auto"/>
        <w:ind w:right="-2"/>
      </w:pPr>
      <w:r w:rsidRPr="00074577">
        <w:t xml:space="preserve">appropriate review timelines across different scenarios </w:t>
      </w:r>
    </w:p>
    <w:p w14:paraId="6DA3CBCF" w14:textId="77777777" w:rsidR="00074577" w:rsidRPr="00074577" w:rsidRDefault="00074577" w:rsidP="00487A06">
      <w:pPr>
        <w:pStyle w:val="BodyText"/>
        <w:numPr>
          <w:ilvl w:val="0"/>
          <w:numId w:val="21"/>
        </w:numPr>
        <w:spacing w:before="88" w:line="316" w:lineRule="auto"/>
        <w:ind w:right="-2"/>
      </w:pPr>
      <w:r w:rsidRPr="00074577">
        <w:t xml:space="preserve">factors to consider for discharge planning </w:t>
      </w:r>
    </w:p>
    <w:p w14:paraId="3FCEA42F" w14:textId="77777777" w:rsidR="00074577" w:rsidRPr="00074577" w:rsidRDefault="00074577" w:rsidP="00487A06">
      <w:pPr>
        <w:pStyle w:val="BodyText"/>
        <w:numPr>
          <w:ilvl w:val="0"/>
          <w:numId w:val="21"/>
        </w:numPr>
        <w:spacing w:before="88" w:line="316" w:lineRule="auto"/>
        <w:ind w:right="-2"/>
      </w:pPr>
      <w:r w:rsidRPr="00074577">
        <w:t xml:space="preserve">indicators for appropriate instrumental assessment </w:t>
      </w:r>
    </w:p>
    <w:p w14:paraId="757D6CC6" w14:textId="77777777" w:rsidR="00074577" w:rsidRPr="00074577" w:rsidRDefault="00074577" w:rsidP="00487A06">
      <w:pPr>
        <w:pStyle w:val="BodyText"/>
        <w:numPr>
          <w:ilvl w:val="0"/>
          <w:numId w:val="21"/>
        </w:numPr>
        <w:spacing w:before="88" w:line="316" w:lineRule="auto"/>
        <w:ind w:right="-2"/>
      </w:pPr>
      <w:r w:rsidRPr="00074577">
        <w:lastRenderedPageBreak/>
        <w:t xml:space="preserve">broad issues relating to users with complex conditions including neonates, people with tracheostomies, those who are ventilator-dependant, and rare conditions and situations that require development </w:t>
      </w:r>
      <w:r w:rsidRPr="00074577">
        <w:rPr>
          <w:i/>
        </w:rPr>
        <w:t>beyond entry-level qualification</w:t>
      </w:r>
      <w:r w:rsidRPr="00074577">
        <w:t xml:space="preserve"> </w:t>
      </w:r>
    </w:p>
    <w:p w14:paraId="67C2CFA1" w14:textId="77777777" w:rsidR="00074577" w:rsidRPr="00074577" w:rsidRDefault="00074577" w:rsidP="00487A06">
      <w:pPr>
        <w:pStyle w:val="BodyText"/>
        <w:numPr>
          <w:ilvl w:val="0"/>
          <w:numId w:val="21"/>
        </w:numPr>
        <w:spacing w:before="88" w:line="316" w:lineRule="auto"/>
        <w:ind w:right="-2"/>
      </w:pPr>
      <w:r w:rsidRPr="00074577">
        <w:t xml:space="preserve">service delivery and caseload management policies and strategies, including escalation processes </w:t>
      </w:r>
    </w:p>
    <w:p w14:paraId="37A43C50" w14:textId="77777777" w:rsidR="00074577" w:rsidRPr="00074577" w:rsidRDefault="00074577" w:rsidP="00487A06">
      <w:pPr>
        <w:pStyle w:val="BodyText"/>
        <w:numPr>
          <w:ilvl w:val="0"/>
          <w:numId w:val="21"/>
        </w:numPr>
        <w:spacing w:before="88" w:line="316" w:lineRule="auto"/>
        <w:ind w:right="-2"/>
      </w:pPr>
      <w:r w:rsidRPr="00074577">
        <w:t xml:space="preserve">ethical, legal, cultural and service influences on decision-making. </w:t>
      </w:r>
    </w:p>
    <w:p w14:paraId="32AAA753" w14:textId="68668289" w:rsidR="00074577" w:rsidRPr="00074577" w:rsidRDefault="00487A06" w:rsidP="00115C11">
      <w:pPr>
        <w:pStyle w:val="Heading3"/>
      </w:pPr>
      <w:bookmarkStart w:id="33" w:name="_Toc207803400"/>
      <w:bookmarkStart w:id="34" w:name="_Toc60020"/>
      <w:r>
        <w:t xml:space="preserve">3.1.2 </w:t>
      </w:r>
      <w:r w:rsidR="00074577" w:rsidRPr="00074577">
        <w:t>Entry-level EDS competencies</w:t>
      </w:r>
      <w:bookmarkEnd w:id="33"/>
      <w:r w:rsidR="00074577" w:rsidRPr="00074577">
        <w:t xml:space="preserve"> </w:t>
      </w:r>
      <w:bookmarkEnd w:id="34"/>
    </w:p>
    <w:p w14:paraId="57E1E1F5" w14:textId="4685453B" w:rsidR="00074577" w:rsidRPr="00074577" w:rsidRDefault="00074577" w:rsidP="00074577">
      <w:pPr>
        <w:pStyle w:val="BodyText"/>
        <w:spacing w:before="88" w:line="316" w:lineRule="auto"/>
        <w:ind w:right="-2"/>
      </w:pPr>
      <w:r w:rsidRPr="00074577">
        <w:t xml:space="preserve">In line with all aspects of pre-registration education, there is no requirement to achieve 100 per cent mastery to “pass” the curriculum. In practice placement generally, there are items that must always be satisfied such as professionalism and safety. </w:t>
      </w:r>
    </w:p>
    <w:p w14:paraId="464AAB32" w14:textId="37695D1C" w:rsidR="00074577" w:rsidRPr="002D2D87" w:rsidRDefault="00074577" w:rsidP="6FE73CE5">
      <w:pPr>
        <w:pStyle w:val="BodyText"/>
        <w:spacing w:before="88" w:line="316" w:lineRule="auto"/>
        <w:ind w:right="-2"/>
        <w:rPr>
          <w:b/>
          <w:bCs/>
        </w:rPr>
      </w:pPr>
      <w:r w:rsidRPr="002D2D87">
        <w:rPr>
          <w:b/>
          <w:bCs/>
        </w:rPr>
        <w:t xml:space="preserve">At the point of </w:t>
      </w:r>
      <w:r w:rsidR="4178E2D5" w:rsidRPr="002D2D87">
        <w:rPr>
          <w:b/>
          <w:bCs/>
        </w:rPr>
        <w:t xml:space="preserve">completion of the pre-registration programme, </w:t>
      </w:r>
      <w:r w:rsidRPr="002D2D87">
        <w:rPr>
          <w:b/>
          <w:bCs/>
        </w:rPr>
        <w:t xml:space="preserve">speech and language therapy entry learners will </w:t>
      </w:r>
      <w:r w:rsidR="709D4722" w:rsidRPr="002D2D87">
        <w:rPr>
          <w:b/>
          <w:bCs/>
        </w:rPr>
        <w:t xml:space="preserve">evidence </w:t>
      </w:r>
      <w:r w:rsidR="54EF7FC1" w:rsidRPr="002D2D87">
        <w:rPr>
          <w:b/>
          <w:bCs/>
        </w:rPr>
        <w:t xml:space="preserve">their </w:t>
      </w:r>
      <w:r w:rsidR="709D4722" w:rsidRPr="002D2D87">
        <w:rPr>
          <w:b/>
          <w:bCs/>
        </w:rPr>
        <w:t>knowledge and</w:t>
      </w:r>
      <w:r w:rsidR="3301E131" w:rsidRPr="002D2D87">
        <w:rPr>
          <w:b/>
          <w:bCs/>
        </w:rPr>
        <w:t>/or s</w:t>
      </w:r>
      <w:r w:rsidR="709D4722" w:rsidRPr="002D2D87">
        <w:rPr>
          <w:b/>
          <w:bCs/>
        </w:rPr>
        <w:t xml:space="preserve">kills </w:t>
      </w:r>
      <w:r w:rsidR="1F8E942E" w:rsidRPr="002D2D87">
        <w:rPr>
          <w:b/>
          <w:bCs/>
        </w:rPr>
        <w:t xml:space="preserve">(as appropriate) </w:t>
      </w:r>
      <w:r w:rsidR="0BA1E25A" w:rsidRPr="002D2D87">
        <w:rPr>
          <w:b/>
          <w:bCs/>
        </w:rPr>
        <w:t xml:space="preserve">on two occasions, </w:t>
      </w:r>
      <w:r w:rsidRPr="002D2D87">
        <w:rPr>
          <w:b/>
          <w:bCs/>
        </w:rPr>
        <w:t xml:space="preserve">in </w:t>
      </w:r>
      <w:r w:rsidRPr="6FE73CE5">
        <w:rPr>
          <w:b/>
          <w:bCs/>
        </w:rPr>
        <w:t>at least 16 out of 20</w:t>
      </w:r>
      <w:r w:rsidRPr="002D2D87">
        <w:rPr>
          <w:b/>
          <w:bCs/>
        </w:rPr>
        <w:t xml:space="preserve"> of the following</w:t>
      </w:r>
      <w:r w:rsidR="5FCF4A11" w:rsidRPr="002D2D87">
        <w:rPr>
          <w:b/>
          <w:bCs/>
        </w:rPr>
        <w:t xml:space="preserve"> competencies</w:t>
      </w:r>
      <w:r w:rsidR="763F3B39" w:rsidRPr="002D2D87">
        <w:rPr>
          <w:b/>
          <w:bCs/>
        </w:rPr>
        <w:t>.</w:t>
      </w:r>
    </w:p>
    <w:p w14:paraId="2236C87F" w14:textId="73AA3331" w:rsidR="00074577" w:rsidRPr="002D2D87" w:rsidRDefault="64368E09" w:rsidP="6FE73CE5">
      <w:pPr>
        <w:pStyle w:val="BodyText"/>
        <w:spacing w:before="88" w:line="316" w:lineRule="auto"/>
        <w:ind w:right="-2"/>
        <w:rPr>
          <w:b/>
          <w:bCs/>
        </w:rPr>
      </w:pPr>
      <w:r w:rsidRPr="002D2D87">
        <w:rPr>
          <w:b/>
          <w:bCs/>
        </w:rPr>
        <w:t xml:space="preserve">Competencies 1, 2, </w:t>
      </w:r>
      <w:r w:rsidR="3940B270" w:rsidRPr="002D2D87">
        <w:rPr>
          <w:b/>
          <w:bCs/>
        </w:rPr>
        <w:t xml:space="preserve">9, 10 and 13 require at least </w:t>
      </w:r>
      <w:r w:rsidR="38CB0AEF" w:rsidRPr="002D2D87">
        <w:rPr>
          <w:b/>
          <w:bCs/>
        </w:rPr>
        <w:t>one o</w:t>
      </w:r>
      <w:r w:rsidR="05D13A65" w:rsidRPr="002D2D87">
        <w:rPr>
          <w:b/>
          <w:bCs/>
        </w:rPr>
        <w:t>ccasion</w:t>
      </w:r>
      <w:r w:rsidR="38CB0AEF" w:rsidRPr="002D2D87">
        <w:rPr>
          <w:b/>
          <w:bCs/>
        </w:rPr>
        <w:t xml:space="preserve"> to be evidenced from</w:t>
      </w:r>
      <w:r w:rsidR="15FA0D75" w:rsidRPr="002D2D87">
        <w:rPr>
          <w:b/>
          <w:bCs/>
        </w:rPr>
        <w:t xml:space="preserve"> clinically based practice with either children or adults.</w:t>
      </w:r>
    </w:p>
    <w:p w14:paraId="0FA666CC" w14:textId="32BA2F0F" w:rsidR="00074577" w:rsidRPr="00074577" w:rsidRDefault="00074577" w:rsidP="00074577">
      <w:pPr>
        <w:pStyle w:val="BodyText"/>
        <w:spacing w:before="88" w:line="316" w:lineRule="auto"/>
        <w:ind w:right="-2"/>
      </w:pPr>
      <w:r>
        <w:t xml:space="preserve">They will be able to: </w:t>
      </w:r>
    </w:p>
    <w:p w14:paraId="7DC25E12" w14:textId="77777777" w:rsidR="00074577" w:rsidRPr="00074577" w:rsidRDefault="00074577" w:rsidP="009E2EFF">
      <w:pPr>
        <w:pStyle w:val="BodyText"/>
        <w:numPr>
          <w:ilvl w:val="0"/>
          <w:numId w:val="22"/>
        </w:numPr>
        <w:spacing w:before="88" w:line="316" w:lineRule="auto"/>
        <w:ind w:right="-2"/>
      </w:pPr>
      <w:r w:rsidRPr="00074577">
        <w:t xml:space="preserve">discuss the importance of EDS and the service user’s goals with the service user/family/carer </w:t>
      </w:r>
    </w:p>
    <w:p w14:paraId="249FE10F" w14:textId="77777777" w:rsidR="00074577" w:rsidRPr="00074577" w:rsidRDefault="00074577" w:rsidP="009E2EFF">
      <w:pPr>
        <w:pStyle w:val="BodyText"/>
        <w:numPr>
          <w:ilvl w:val="0"/>
          <w:numId w:val="22"/>
        </w:numPr>
        <w:spacing w:before="88" w:line="316" w:lineRule="auto"/>
        <w:ind w:right="-2"/>
      </w:pPr>
      <w:r w:rsidRPr="00074577">
        <w:t xml:space="preserve">apply health and safety procedures related to working with service users who are at risk of, or who present with, EDS difficulties </w:t>
      </w:r>
    </w:p>
    <w:p w14:paraId="2489D458" w14:textId="77777777" w:rsidR="00074577" w:rsidRPr="00074577" w:rsidRDefault="00074577" w:rsidP="009E2EFF">
      <w:pPr>
        <w:pStyle w:val="BodyText"/>
        <w:numPr>
          <w:ilvl w:val="0"/>
          <w:numId w:val="22"/>
        </w:numPr>
        <w:spacing w:before="88" w:line="316" w:lineRule="auto"/>
        <w:ind w:right="-2"/>
      </w:pPr>
      <w:r w:rsidRPr="00074577">
        <w:t xml:space="preserve">identify information required from case history and referral information that will guide the service user/family/carer interviews </w:t>
      </w:r>
    </w:p>
    <w:p w14:paraId="56A3E9EB" w14:textId="77777777" w:rsidR="00074577" w:rsidRPr="00074577" w:rsidRDefault="00074577" w:rsidP="009E2EFF">
      <w:pPr>
        <w:pStyle w:val="BodyText"/>
        <w:numPr>
          <w:ilvl w:val="0"/>
          <w:numId w:val="22"/>
        </w:numPr>
        <w:spacing w:before="88" w:line="316" w:lineRule="auto"/>
        <w:ind w:right="-2"/>
      </w:pPr>
      <w:r w:rsidRPr="00074577">
        <w:t xml:space="preserve">obtain detailed background information from case notes relevant to EDS </w:t>
      </w:r>
    </w:p>
    <w:p w14:paraId="6951ADD1" w14:textId="77777777" w:rsidR="00074577" w:rsidRPr="00074577" w:rsidRDefault="00074577" w:rsidP="009E2EFF">
      <w:pPr>
        <w:pStyle w:val="BodyText"/>
        <w:numPr>
          <w:ilvl w:val="0"/>
          <w:numId w:val="22"/>
        </w:numPr>
        <w:spacing w:before="88" w:line="316" w:lineRule="auto"/>
        <w:ind w:right="-2"/>
      </w:pPr>
      <w:r w:rsidRPr="00074577">
        <w:t xml:space="preserve">carry out oral facial (sensory and motor) examinations on population without EDS difficulties </w:t>
      </w:r>
    </w:p>
    <w:p w14:paraId="7D8615C5" w14:textId="77777777" w:rsidR="00074577" w:rsidRPr="00074577" w:rsidRDefault="00074577" w:rsidP="009E2EFF">
      <w:pPr>
        <w:pStyle w:val="BodyText"/>
        <w:numPr>
          <w:ilvl w:val="0"/>
          <w:numId w:val="22"/>
        </w:numPr>
        <w:spacing w:before="88" w:line="316" w:lineRule="auto"/>
        <w:ind w:right="-2"/>
      </w:pPr>
      <w:r w:rsidRPr="00074577">
        <w:t xml:space="preserve">recognise the positive and negative impacts of modifying aspects of the EDS process </w:t>
      </w:r>
    </w:p>
    <w:p w14:paraId="1BFE2785" w14:textId="77777777" w:rsidR="00074577" w:rsidRPr="00074577" w:rsidRDefault="00074577" w:rsidP="009E2EFF">
      <w:pPr>
        <w:pStyle w:val="BodyText"/>
        <w:numPr>
          <w:ilvl w:val="0"/>
          <w:numId w:val="22"/>
        </w:numPr>
        <w:spacing w:before="88" w:line="316" w:lineRule="auto"/>
        <w:ind w:right="-2"/>
      </w:pPr>
      <w:r w:rsidRPr="00074577">
        <w:t xml:space="preserve">describe the indications for and against non-oral supplementation of nutrition and/or hydration </w:t>
      </w:r>
    </w:p>
    <w:p w14:paraId="003EE406" w14:textId="77777777" w:rsidR="00074577" w:rsidRPr="00074577" w:rsidRDefault="00074577" w:rsidP="009E2EFF">
      <w:pPr>
        <w:pStyle w:val="BodyText"/>
        <w:numPr>
          <w:ilvl w:val="0"/>
          <w:numId w:val="22"/>
        </w:numPr>
        <w:spacing w:before="88" w:line="316" w:lineRule="auto"/>
        <w:ind w:right="-2"/>
      </w:pPr>
      <w:r w:rsidRPr="00074577">
        <w:t xml:space="preserve">recognise the signs and symptoms of oropharyngeal and oesophageal dysphagia to inform diagnostic hypotheses </w:t>
      </w:r>
    </w:p>
    <w:p w14:paraId="07BE7155" w14:textId="77777777" w:rsidR="00074577" w:rsidRPr="00074577" w:rsidRDefault="00074577" w:rsidP="009E2EFF">
      <w:pPr>
        <w:pStyle w:val="BodyText"/>
        <w:numPr>
          <w:ilvl w:val="0"/>
          <w:numId w:val="22"/>
        </w:numPr>
        <w:spacing w:before="88" w:line="316" w:lineRule="auto"/>
        <w:ind w:right="-2"/>
      </w:pPr>
      <w:r w:rsidRPr="00074577">
        <w:lastRenderedPageBreak/>
        <w:t xml:space="preserve">discuss service user/family/carer perspective when taking detailed case histories relevant to EDS </w:t>
      </w:r>
    </w:p>
    <w:p w14:paraId="300E715E" w14:textId="77777777" w:rsidR="00074577" w:rsidRPr="00074577" w:rsidRDefault="00074577" w:rsidP="009E2EFF">
      <w:pPr>
        <w:pStyle w:val="BodyText"/>
        <w:numPr>
          <w:ilvl w:val="0"/>
          <w:numId w:val="22"/>
        </w:numPr>
        <w:spacing w:before="88" w:line="316" w:lineRule="auto"/>
        <w:ind w:right="-2"/>
      </w:pPr>
      <w:r w:rsidRPr="00074577">
        <w:t xml:space="preserve">evaluate oral, facial, and swallowing functioning of service users at risk of EDS difficulties </w:t>
      </w:r>
    </w:p>
    <w:p w14:paraId="352000CD" w14:textId="77777777" w:rsidR="00074577" w:rsidRPr="00074577" w:rsidRDefault="00074577" w:rsidP="009E2EFF">
      <w:pPr>
        <w:pStyle w:val="BodyText"/>
        <w:numPr>
          <w:ilvl w:val="0"/>
          <w:numId w:val="22"/>
        </w:numPr>
        <w:spacing w:before="88" w:line="316" w:lineRule="auto"/>
        <w:ind w:right="-2"/>
      </w:pPr>
      <w:r w:rsidRPr="00074577">
        <w:t xml:space="preserve">formulate hypotheses and outline possible intervention options for discussion with the practice educator </w:t>
      </w:r>
    </w:p>
    <w:p w14:paraId="27CB8504" w14:textId="77777777" w:rsidR="00074577" w:rsidRPr="00074577" w:rsidRDefault="00074577" w:rsidP="009E2EFF">
      <w:pPr>
        <w:pStyle w:val="BodyText"/>
        <w:numPr>
          <w:ilvl w:val="0"/>
          <w:numId w:val="22"/>
        </w:numPr>
        <w:spacing w:before="88" w:line="316" w:lineRule="auto"/>
        <w:ind w:right="-2"/>
      </w:pPr>
      <w:r w:rsidRPr="00074577">
        <w:t xml:space="preserve">apply knowledge of evidence-based rehabilitation and compensatory techniques to develop person-centred intervention plans </w:t>
      </w:r>
    </w:p>
    <w:p w14:paraId="45BA9FB1" w14:textId="77777777" w:rsidR="00074577" w:rsidRPr="00074577" w:rsidRDefault="00074577" w:rsidP="009E2EFF">
      <w:pPr>
        <w:pStyle w:val="BodyText"/>
        <w:numPr>
          <w:ilvl w:val="0"/>
          <w:numId w:val="22"/>
        </w:numPr>
        <w:spacing w:before="88" w:line="316" w:lineRule="auto"/>
        <w:ind w:right="-2"/>
      </w:pPr>
      <w:r w:rsidRPr="00074577">
        <w:t xml:space="preserve">explain management programmes to service users/families/carers and relevant team members </w:t>
      </w:r>
    </w:p>
    <w:p w14:paraId="238D1218" w14:textId="77777777" w:rsidR="00074577" w:rsidRPr="00074577" w:rsidRDefault="00074577" w:rsidP="009E2EFF">
      <w:pPr>
        <w:pStyle w:val="BodyText"/>
        <w:numPr>
          <w:ilvl w:val="0"/>
          <w:numId w:val="22"/>
        </w:numPr>
        <w:spacing w:before="88" w:line="316" w:lineRule="auto"/>
        <w:ind w:right="-2"/>
      </w:pPr>
      <w:r w:rsidRPr="00074577">
        <w:t xml:space="preserve">use appropriate assessments to observe, record and evaluate EDS patterns, including trials of proposed intervention(s) </w:t>
      </w:r>
    </w:p>
    <w:p w14:paraId="75FBFB35" w14:textId="2085B881" w:rsidR="00074577" w:rsidRPr="00074577" w:rsidRDefault="00074577" w:rsidP="009E2EFF">
      <w:pPr>
        <w:pStyle w:val="BodyText"/>
        <w:numPr>
          <w:ilvl w:val="0"/>
          <w:numId w:val="22"/>
        </w:numPr>
        <w:spacing w:before="88" w:line="316" w:lineRule="auto"/>
        <w:ind w:right="-2"/>
      </w:pPr>
      <w:r w:rsidRPr="00074577">
        <w:t xml:space="preserve">synthesise information on psychological, social, and biomechanical factors with assessment findings to formulate diagnoses </w:t>
      </w:r>
    </w:p>
    <w:p w14:paraId="5EE10DF3" w14:textId="77777777" w:rsidR="00074577" w:rsidRPr="00074577" w:rsidRDefault="00074577" w:rsidP="009E2EFF">
      <w:pPr>
        <w:pStyle w:val="BodyText"/>
        <w:numPr>
          <w:ilvl w:val="0"/>
          <w:numId w:val="22"/>
        </w:numPr>
        <w:spacing w:before="88" w:line="316" w:lineRule="auto"/>
        <w:ind w:right="-2"/>
      </w:pPr>
      <w:r w:rsidRPr="00074577">
        <w:t xml:space="preserve">synthesise information on psychological, social, and biomechanical factors with assessment findings to develop person-centred intervention plans </w:t>
      </w:r>
    </w:p>
    <w:p w14:paraId="7AE0FA1E" w14:textId="77777777" w:rsidR="00074577" w:rsidRPr="00074577" w:rsidRDefault="00074577" w:rsidP="009E2EFF">
      <w:pPr>
        <w:pStyle w:val="BodyText"/>
        <w:numPr>
          <w:ilvl w:val="0"/>
          <w:numId w:val="22"/>
        </w:numPr>
        <w:spacing w:before="88" w:line="316" w:lineRule="auto"/>
        <w:ind w:right="-2"/>
      </w:pPr>
      <w:r w:rsidRPr="00074577">
        <w:t xml:space="preserve">identify specific person-centred outcomes to support review scheduling </w:t>
      </w:r>
    </w:p>
    <w:p w14:paraId="23E83EBF" w14:textId="77777777" w:rsidR="00074577" w:rsidRPr="00074577" w:rsidRDefault="00074577" w:rsidP="009E2EFF">
      <w:pPr>
        <w:pStyle w:val="BodyText"/>
        <w:numPr>
          <w:ilvl w:val="0"/>
          <w:numId w:val="22"/>
        </w:numPr>
        <w:spacing w:before="88" w:line="316" w:lineRule="auto"/>
        <w:ind w:right="-2"/>
      </w:pPr>
      <w:r w:rsidRPr="00074577">
        <w:t xml:space="preserve">identify specific person-centred outcomes to identify appropriate discharge points  </w:t>
      </w:r>
    </w:p>
    <w:p w14:paraId="1FBBE3CE" w14:textId="77777777" w:rsidR="00074577" w:rsidRPr="00074577" w:rsidRDefault="00074577" w:rsidP="009E2EFF">
      <w:pPr>
        <w:pStyle w:val="BodyText"/>
        <w:numPr>
          <w:ilvl w:val="0"/>
          <w:numId w:val="22"/>
        </w:numPr>
        <w:spacing w:before="88" w:line="316" w:lineRule="auto"/>
        <w:ind w:right="-2"/>
      </w:pPr>
      <w:r w:rsidRPr="00074577">
        <w:t xml:space="preserve">discuss the ethical issues associated with EDS for service users/family/carers </w:t>
      </w:r>
    </w:p>
    <w:p w14:paraId="061F1514" w14:textId="77777777" w:rsidR="00074577" w:rsidRPr="00074577" w:rsidRDefault="00074577" w:rsidP="009E2EFF">
      <w:pPr>
        <w:pStyle w:val="BodyText"/>
        <w:numPr>
          <w:ilvl w:val="0"/>
          <w:numId w:val="22"/>
        </w:numPr>
        <w:spacing w:before="88" w:line="316" w:lineRule="auto"/>
        <w:ind w:right="-2"/>
      </w:pPr>
      <w:r w:rsidRPr="00074577">
        <w:t xml:space="preserve">identify situations associated with EDS issues that require the initiation of safeguarding discussions. </w:t>
      </w:r>
      <w:r w:rsidRPr="00074577">
        <w:br w:type="page"/>
      </w:r>
    </w:p>
    <w:p w14:paraId="71785F6D" w14:textId="6E240A30" w:rsidR="00074577" w:rsidRPr="00074577" w:rsidRDefault="001703B9" w:rsidP="001703B9">
      <w:pPr>
        <w:pStyle w:val="Heading1"/>
      </w:pPr>
      <w:bookmarkStart w:id="35" w:name="_Toc203664685"/>
      <w:bookmarkStart w:id="36" w:name="_Toc207803401"/>
      <w:bookmarkStart w:id="37" w:name="_Toc60021"/>
      <w:r>
        <w:lastRenderedPageBreak/>
        <w:t xml:space="preserve">4. </w:t>
      </w:r>
      <w:r w:rsidR="00074577" w:rsidRPr="00074577">
        <w:t>Partnership in practice-based learning provision</w:t>
      </w:r>
      <w:bookmarkEnd w:id="35"/>
      <w:bookmarkEnd w:id="36"/>
      <w:r w:rsidR="00074577" w:rsidRPr="00074577">
        <w:t xml:space="preserve"> </w:t>
      </w:r>
      <w:bookmarkEnd w:id="37"/>
    </w:p>
    <w:p w14:paraId="31F1DD86" w14:textId="77777777" w:rsidR="00074577" w:rsidRPr="00074577" w:rsidRDefault="00074577" w:rsidP="00074577">
      <w:pPr>
        <w:pStyle w:val="BodyText"/>
        <w:spacing w:before="88" w:line="316" w:lineRule="auto"/>
        <w:ind w:right="-2"/>
      </w:pPr>
      <w:r w:rsidRPr="00074577">
        <w:t xml:space="preserve">Improving the health and wellbeing of individuals with EDS needs depends on speech and language therapy learners, academic tutors and practice educators working together effectively at the pre-registration stage, with the shared vision of enabling the future profession to meet the evolving needs of the people who use speech and language therapy services. The programme curriculum must provide a range of adequate, practical, tutored learning opportunities to enable the speech and language therapy learner to acquire, develop and refine the complex skills needed to support people with EDS difficulties. </w:t>
      </w:r>
    </w:p>
    <w:p w14:paraId="26CC1A00" w14:textId="77777777" w:rsidR="00074577" w:rsidRPr="00074577" w:rsidRDefault="00074577" w:rsidP="00074577">
      <w:pPr>
        <w:pStyle w:val="BodyText"/>
        <w:spacing w:before="88" w:line="316" w:lineRule="auto"/>
        <w:ind w:right="-2"/>
      </w:pPr>
      <w:r w:rsidRPr="00074577">
        <w:t xml:space="preserve">Practice educators contribute directly to pre-registration education and training by grounding learners in the reality of the workplace, providing a range of clinical and interdisciplinary learning opportunities, making transparent the often-challenging translation of knowledge into clinical practice, and empowering learners within a framework of clearly defined learning objectives. The RCSLT expects practice educators to instil and support the reflective professional development of an SLT. </w:t>
      </w:r>
    </w:p>
    <w:p w14:paraId="7F0E2DF0" w14:textId="192052D6" w:rsidR="00074577" w:rsidRPr="00074577" w:rsidRDefault="00074577" w:rsidP="00074577">
      <w:pPr>
        <w:pStyle w:val="BodyText"/>
        <w:spacing w:before="88" w:line="316" w:lineRule="auto"/>
        <w:ind w:right="-2"/>
      </w:pPr>
      <w:r w:rsidRPr="00074577">
        <w:t xml:space="preserve">All SLTs should support practice placements on an annual basis, two years after they have qualified or after one year, provided that appropriate ongoing support is available from their own service and/or the HEI. This applies whether SLTs are employed in the NHS or elsewhere, including independent practice. </w:t>
      </w:r>
    </w:p>
    <w:p w14:paraId="5E055C60" w14:textId="07994346" w:rsidR="00074577" w:rsidRPr="00074577" w:rsidRDefault="00074577" w:rsidP="00074577">
      <w:pPr>
        <w:pStyle w:val="BodyText"/>
        <w:spacing w:before="88" w:line="316" w:lineRule="auto"/>
        <w:ind w:right="-2"/>
      </w:pPr>
      <w:r w:rsidRPr="6FE73CE5">
        <w:rPr>
          <w:b/>
          <w:bCs/>
          <w:i/>
          <w:iCs/>
        </w:rPr>
        <w:t>All settings</w:t>
      </w:r>
      <w:r>
        <w:t xml:space="preserve"> </w:t>
      </w:r>
      <w:r w:rsidR="51CB7304">
        <w:t xml:space="preserve">providing practice placements </w:t>
      </w:r>
      <w:r>
        <w:t>may have service users with EDS difficulties. Programme and practice placement providers should endeavour to consider all speech and language therapy services as potential practice placement opportunities and offer SLTs the support they need to become practice educators and work with learners in their services. Engagement in activities, from observation to clinical assessment and intervention, all support the learner in considering the whole person with a communication and/or an EDS difficulty</w:t>
      </w:r>
      <w:r w:rsidR="272DEEA5">
        <w:t xml:space="preserve"> or difference</w:t>
      </w:r>
      <w:r>
        <w:t xml:space="preserve">. </w:t>
      </w:r>
    </w:p>
    <w:p w14:paraId="0EB5C963" w14:textId="10293003" w:rsidR="00074577" w:rsidRPr="00074577" w:rsidRDefault="00FF7605" w:rsidP="00115C11">
      <w:pPr>
        <w:pStyle w:val="Heading2"/>
      </w:pPr>
      <w:bookmarkStart w:id="38" w:name="_Toc203664686"/>
      <w:bookmarkStart w:id="39" w:name="_Toc207803402"/>
      <w:bookmarkStart w:id="40" w:name="_Toc60022"/>
      <w:r>
        <w:t xml:space="preserve">4.1 </w:t>
      </w:r>
      <w:r w:rsidR="00074577" w:rsidRPr="00074577">
        <w:t>Recommended practice placement hours</w:t>
      </w:r>
      <w:bookmarkEnd w:id="38"/>
      <w:bookmarkEnd w:id="39"/>
      <w:r w:rsidR="00074577" w:rsidRPr="00074577">
        <w:t xml:space="preserve"> </w:t>
      </w:r>
      <w:bookmarkEnd w:id="40"/>
    </w:p>
    <w:p w14:paraId="4341E786" w14:textId="5B9E8D2D" w:rsidR="00074577" w:rsidRPr="00074577" w:rsidRDefault="00074577" w:rsidP="00074577">
      <w:pPr>
        <w:pStyle w:val="BodyText"/>
        <w:spacing w:before="88" w:line="316" w:lineRule="auto"/>
        <w:ind w:right="-2"/>
      </w:pPr>
      <w:r>
        <w:t xml:space="preserve">Competencies should be gathered across the duration of the pre-registration education and </w:t>
      </w:r>
      <w:r w:rsidR="0056269B">
        <w:t xml:space="preserve">from </w:t>
      </w:r>
      <w:r w:rsidR="0056269B">
        <w:lastRenderedPageBreak/>
        <w:t>practice</w:t>
      </w:r>
      <w:r>
        <w:t xml:space="preserve"> placements. There is no expectation that specific EDS practice placements must be provided. </w:t>
      </w:r>
      <w:r w:rsidRPr="0069534C">
        <w:rPr>
          <w:b/>
          <w:bCs/>
        </w:rPr>
        <w:t>RCSLT recommend a total of</w:t>
      </w:r>
      <w:r>
        <w:t xml:space="preserve"> </w:t>
      </w:r>
      <w:r w:rsidRPr="6FE73CE5">
        <w:rPr>
          <w:b/>
          <w:bCs/>
        </w:rPr>
        <w:t xml:space="preserve">60 </w:t>
      </w:r>
      <w:r w:rsidR="1DA785C3" w:rsidRPr="6FE73CE5">
        <w:rPr>
          <w:b/>
          <w:bCs/>
        </w:rPr>
        <w:t xml:space="preserve">EDS exposure </w:t>
      </w:r>
      <w:r w:rsidRPr="6FE73CE5">
        <w:rPr>
          <w:b/>
          <w:bCs/>
        </w:rPr>
        <w:t>hours</w:t>
      </w:r>
      <w:r w:rsidR="5E368D40" w:rsidRPr="6FE73CE5">
        <w:rPr>
          <w:b/>
          <w:bCs/>
        </w:rPr>
        <w:t xml:space="preserve"> </w:t>
      </w:r>
      <w:r w:rsidR="76D072ED" w:rsidRPr="6FE73CE5">
        <w:rPr>
          <w:b/>
          <w:bCs/>
        </w:rPr>
        <w:t xml:space="preserve">across the duration of the pre-registration programme, </w:t>
      </w:r>
      <w:r w:rsidRPr="6FE73CE5">
        <w:rPr>
          <w:b/>
          <w:bCs/>
        </w:rPr>
        <w:t xml:space="preserve">with </w:t>
      </w:r>
      <w:r w:rsidRPr="0069534C">
        <w:rPr>
          <w:b/>
          <w:bCs/>
        </w:rPr>
        <w:t xml:space="preserve">at least 30 hours </w:t>
      </w:r>
      <w:r w:rsidR="03E1D47D" w:rsidRPr="0069534C">
        <w:rPr>
          <w:b/>
          <w:bCs/>
        </w:rPr>
        <w:t>from clinical practice with adults</w:t>
      </w:r>
      <w:r w:rsidR="00835768">
        <w:rPr>
          <w:b/>
          <w:bCs/>
        </w:rPr>
        <w:t xml:space="preserve"> and</w:t>
      </w:r>
      <w:r w:rsidR="03E1D47D" w:rsidRPr="0069534C">
        <w:rPr>
          <w:b/>
          <w:bCs/>
        </w:rPr>
        <w:t xml:space="preserve"> </w:t>
      </w:r>
      <w:r w:rsidRPr="0069534C">
        <w:rPr>
          <w:b/>
          <w:bCs/>
        </w:rPr>
        <w:t xml:space="preserve">at least 10 hours </w:t>
      </w:r>
      <w:r w:rsidR="32E8C588" w:rsidRPr="0069534C">
        <w:rPr>
          <w:b/>
          <w:bCs/>
        </w:rPr>
        <w:t>from clinical practice with children</w:t>
      </w:r>
      <w:r w:rsidR="0069534C">
        <w:rPr>
          <w:b/>
          <w:bCs/>
        </w:rPr>
        <w:t xml:space="preserve">. </w:t>
      </w:r>
      <w:r>
        <w:t xml:space="preserve">Hours devoted to EDS </w:t>
      </w:r>
      <w:r w:rsidR="6F15DEA3">
        <w:t xml:space="preserve">experience </w:t>
      </w:r>
      <w:r>
        <w:t xml:space="preserve">form part of the existing requirement for practice-based learning in the </w:t>
      </w:r>
      <w:hyperlink r:id="rId39" w:history="1">
        <w:r w:rsidRPr="006975EA">
          <w:rPr>
            <w:rStyle w:val="Hyperlink"/>
          </w:rPr>
          <w:t>RCSLT Curriculum guidance (2025)</w:t>
        </w:r>
      </w:hyperlink>
      <w:r>
        <w:t xml:space="preserve">. In comparison to version 3 of the pre-registration EDS competencies, the hours component has been changed to </w:t>
      </w:r>
      <w:r w:rsidR="25CE8954">
        <w:t>‘</w:t>
      </w:r>
      <w:r>
        <w:t>recommended</w:t>
      </w:r>
      <w:r w:rsidR="1C8F195D">
        <w:t>’</w:t>
      </w:r>
      <w:r>
        <w:t xml:space="preserve"> as opposed to mandatory. This is in response to practice placement availability.</w:t>
      </w:r>
      <w:r w:rsidR="00482C73">
        <w:t xml:space="preserve"> </w:t>
      </w:r>
      <w:r>
        <w:t xml:space="preserve">This recommendation applies to all programmes, regardless of duration, mode of delivery or structure. The change from mandatory to </w:t>
      </w:r>
      <w:r w:rsidR="00F47984">
        <w:t>recommended</w:t>
      </w:r>
      <w:r>
        <w:t xml:space="preserve"> hours </w:t>
      </w:r>
      <w:r w:rsidR="150F202C">
        <w:t>aligns with</w:t>
      </w:r>
      <w:r>
        <w:t xml:space="preserve"> the removal of the </w:t>
      </w:r>
      <w:r w:rsidR="00835768">
        <w:t>hour’s</w:t>
      </w:r>
      <w:r>
        <w:t xml:space="preserve"> component from the post </w:t>
      </w:r>
      <w:r w:rsidR="0056269B">
        <w:t>registration SLT</w:t>
      </w:r>
      <w:r>
        <w:t xml:space="preserve"> EDS competency framework.</w:t>
      </w:r>
    </w:p>
    <w:p w14:paraId="525BC5A9" w14:textId="7F9C56A2" w:rsidR="00074577" w:rsidRPr="00074577" w:rsidRDefault="00074577" w:rsidP="00074577">
      <w:pPr>
        <w:pStyle w:val="BodyText"/>
        <w:spacing w:before="88" w:line="316" w:lineRule="auto"/>
        <w:ind w:right="-2"/>
      </w:pPr>
      <w:r>
        <w:t xml:space="preserve">Opportunities should be organised to reflect local service-delivery practice and needs. They should include opportunities to work with a range of service users in a variety of settings, as appropriate. It is expected that all practice placements </w:t>
      </w:r>
      <w:proofErr w:type="gramStart"/>
      <w:r>
        <w:t>are able to</w:t>
      </w:r>
      <w:proofErr w:type="gramEnd"/>
      <w:r>
        <w:t xml:space="preserve"> offer some aspect of EDS experience to learners. For example, </w:t>
      </w:r>
      <w:r w:rsidR="48402CA0">
        <w:t xml:space="preserve">if </w:t>
      </w:r>
      <w:r>
        <w:t xml:space="preserve">a learner is on practice placement in a school for children focusing on AAC use, </w:t>
      </w:r>
      <w:r w:rsidR="3CF53B39">
        <w:t xml:space="preserve">they </w:t>
      </w:r>
      <w:r w:rsidR="7CC3D48C">
        <w:t xml:space="preserve">may have the opportunity to </w:t>
      </w:r>
      <w:r>
        <w:t>participate in the lunchtime environment and discuss with their practice educator afterwards</w:t>
      </w:r>
      <w:r w:rsidR="261A8F4A">
        <w:t xml:space="preserve"> </w:t>
      </w:r>
      <w:r w:rsidR="3F97A2FA">
        <w:t xml:space="preserve">and </w:t>
      </w:r>
      <w:r w:rsidR="708E426E">
        <w:t xml:space="preserve">they </w:t>
      </w:r>
      <w:r w:rsidR="3F97A2FA">
        <w:t xml:space="preserve">can </w:t>
      </w:r>
      <w:r w:rsidR="5A2E5E83">
        <w:t xml:space="preserve">then </w:t>
      </w:r>
      <w:r w:rsidR="3F97A2FA">
        <w:t>evidence the relevant EDS competencies and hours following this</w:t>
      </w:r>
      <w:r w:rsidR="00AC194B">
        <w:t>.</w:t>
      </w:r>
    </w:p>
    <w:p w14:paraId="4D6E3114" w14:textId="1E107338" w:rsidR="60AFEDEC" w:rsidRDefault="60AFEDEC" w:rsidP="6FE73CE5">
      <w:pPr>
        <w:pStyle w:val="BodyText"/>
        <w:spacing w:before="88" w:line="316" w:lineRule="auto"/>
        <w:ind w:right="-2"/>
      </w:pPr>
      <w:r>
        <w:t>Formal simulation opportunities (clinically or non-clinically based) can be recorded as EDS exposure hours.</w:t>
      </w:r>
    </w:p>
    <w:p w14:paraId="25BAD743" w14:textId="79D77447" w:rsidR="00074577" w:rsidRPr="00074577" w:rsidRDefault="00074577" w:rsidP="00074577">
      <w:pPr>
        <w:pStyle w:val="BodyText"/>
        <w:spacing w:before="88" w:line="316" w:lineRule="auto"/>
        <w:ind w:right="-2"/>
      </w:pPr>
      <w:r w:rsidRPr="00074577">
        <w:t xml:space="preserve">Detailed guidance on practice placement provision can be found in the </w:t>
      </w:r>
      <w:hyperlink r:id="rId40" w:history="1">
        <w:r w:rsidRPr="00024904">
          <w:rPr>
            <w:rStyle w:val="Hyperlink"/>
          </w:rPr>
          <w:t>RCSLT practice</w:t>
        </w:r>
        <w:r w:rsidR="00024904" w:rsidRPr="00024904">
          <w:rPr>
            <w:rStyle w:val="Hyperlink"/>
          </w:rPr>
          <w:t>-</w:t>
        </w:r>
        <w:r w:rsidRPr="00024904">
          <w:rPr>
            <w:rStyle w:val="Hyperlink"/>
          </w:rPr>
          <w:t>based learning guidance (202</w:t>
        </w:r>
        <w:r w:rsidR="00B30B9D" w:rsidRPr="00024904">
          <w:rPr>
            <w:rStyle w:val="Hyperlink"/>
          </w:rPr>
          <w:t>5</w:t>
        </w:r>
        <w:r w:rsidR="00CD672A" w:rsidRPr="00024904">
          <w:rPr>
            <w:rStyle w:val="Hyperlink"/>
          </w:rPr>
          <w:t>)</w:t>
        </w:r>
      </w:hyperlink>
      <w:r w:rsidR="00CD672A">
        <w:t>.</w:t>
      </w:r>
      <w:r w:rsidRPr="00074577">
        <w:t xml:space="preserve"> </w:t>
      </w:r>
    </w:p>
    <w:p w14:paraId="0BE0EA47" w14:textId="69D69BE2" w:rsidR="00074577" w:rsidRPr="00074577" w:rsidRDefault="00D61BBD" w:rsidP="00115C11">
      <w:pPr>
        <w:pStyle w:val="Heading2"/>
      </w:pPr>
      <w:bookmarkStart w:id="41" w:name="_Toc203664687"/>
      <w:bookmarkStart w:id="42" w:name="_Toc207803403"/>
      <w:bookmarkStart w:id="43" w:name="_Toc60023"/>
      <w:r>
        <w:t xml:space="preserve">4.2 </w:t>
      </w:r>
      <w:r w:rsidR="00074577" w:rsidRPr="00074577">
        <w:t>Practice placement-specific activities</w:t>
      </w:r>
      <w:bookmarkEnd w:id="41"/>
      <w:bookmarkEnd w:id="42"/>
      <w:r w:rsidR="00074577" w:rsidRPr="00074577">
        <w:t xml:space="preserve"> </w:t>
      </w:r>
      <w:bookmarkEnd w:id="43"/>
    </w:p>
    <w:p w14:paraId="4E885D77" w14:textId="685F0040" w:rsidR="00074577" w:rsidRPr="00074577" w:rsidRDefault="00074577" w:rsidP="00074577">
      <w:pPr>
        <w:pStyle w:val="BodyText"/>
        <w:spacing w:before="88" w:line="316" w:lineRule="auto"/>
        <w:ind w:right="-2"/>
      </w:pPr>
      <w:r>
        <w:t xml:space="preserve">This section includes activities that speech and language therapy learners may undertake to meet the </w:t>
      </w:r>
      <w:r w:rsidR="595A2B30">
        <w:t xml:space="preserve">specified </w:t>
      </w:r>
      <w:r>
        <w:t xml:space="preserve">competencies. SLTs work with service users who present with EDS difficulties across a wide range of conditions and service settings. Learners need to </w:t>
      </w:r>
      <w:r w:rsidR="0F4CB3BF">
        <w:t xml:space="preserve">evidence learning about and </w:t>
      </w:r>
      <w:proofErr w:type="gramStart"/>
      <w:r>
        <w:t xml:space="preserve">have </w:t>
      </w:r>
      <w:r w:rsidR="601F2EDC">
        <w:t>the opportunity to</w:t>
      </w:r>
      <w:proofErr w:type="gramEnd"/>
      <w:r w:rsidR="601F2EDC">
        <w:t xml:space="preserve"> develop skills </w:t>
      </w:r>
      <w:r w:rsidR="0056269B">
        <w:t>in working</w:t>
      </w:r>
      <w:r>
        <w:t xml:space="preserve"> with service users who are born with, develop, or acquire EDS difficulties across the lifespan, and in a broad range of settings</w:t>
      </w:r>
      <w:r w:rsidR="7F0C7683">
        <w:t xml:space="preserve">, where possible. </w:t>
      </w:r>
    </w:p>
    <w:p w14:paraId="6076767F" w14:textId="1EB90951" w:rsidR="00074577" w:rsidRPr="00074577" w:rsidRDefault="00074577" w:rsidP="00074577">
      <w:pPr>
        <w:pStyle w:val="BodyText"/>
        <w:spacing w:before="88" w:line="316" w:lineRule="auto"/>
        <w:ind w:right="-2"/>
      </w:pPr>
      <w:r>
        <w:t xml:space="preserve">The degree of supervision required by speech and language therapy learners at any point of the clinical education programme will vary according to the service user, the service provider and the level of competency </w:t>
      </w:r>
      <w:r w:rsidR="155F6AF1">
        <w:t xml:space="preserve">of the learner. </w:t>
      </w:r>
      <w:r>
        <w:t xml:space="preserve">The type of experience gained will vary according to the </w:t>
      </w:r>
      <w:r>
        <w:lastRenderedPageBreak/>
        <w:t xml:space="preserve">setting. Where possible, opportunities such as observing instrumental assessments, and </w:t>
      </w:r>
      <w:proofErr w:type="spellStart"/>
      <w:r>
        <w:t>videofluoroscopic</w:t>
      </w:r>
      <w:proofErr w:type="spellEnd"/>
      <w:r>
        <w:t xml:space="preserve"> and endoscopic swallow studies, are beneficial for learners. </w:t>
      </w:r>
    </w:p>
    <w:p w14:paraId="3BACBEED" w14:textId="6647C6F6" w:rsidR="00074577" w:rsidRPr="00074577" w:rsidRDefault="00074577" w:rsidP="00074577">
      <w:pPr>
        <w:pStyle w:val="BodyText"/>
        <w:spacing w:before="88" w:line="316" w:lineRule="auto"/>
        <w:ind w:right="-2"/>
      </w:pPr>
      <w:r>
        <w:t xml:space="preserve">Speech and language therapy learners are required to keep detailed records of their </w:t>
      </w:r>
      <w:r w:rsidR="237E7F2F">
        <w:t xml:space="preserve">EDS </w:t>
      </w:r>
      <w:r>
        <w:t xml:space="preserve">experiences and </w:t>
      </w:r>
      <w:r w:rsidR="3A7156F2">
        <w:t xml:space="preserve">skill development </w:t>
      </w:r>
      <w:r>
        <w:t>and make these available to practice educators to</w:t>
      </w:r>
      <w:r w:rsidR="6EA67BB5">
        <w:t xml:space="preserve"> sign </w:t>
      </w:r>
      <w:r w:rsidR="29E115CD">
        <w:t>and indicate that the learner has accurately evidenced their learning. This</w:t>
      </w:r>
      <w:r w:rsidR="3954C777">
        <w:t xml:space="preserve"> will also support</w:t>
      </w:r>
      <w:r>
        <w:t xml:space="preserve"> progression</w:t>
      </w:r>
      <w:r w:rsidR="26208553">
        <w:t xml:space="preserve"> of learning across the duration of the pre-registration SLT programme</w:t>
      </w:r>
      <w:r>
        <w:t xml:space="preserve"> and provide appropriate evidence that entry-level knowledge and skills have been acquired. </w:t>
      </w:r>
    </w:p>
    <w:p w14:paraId="6D256D4D" w14:textId="4433B5FF" w:rsidR="00074577" w:rsidRPr="00074577" w:rsidRDefault="00074577" w:rsidP="00074577">
      <w:pPr>
        <w:pStyle w:val="BodyText"/>
        <w:spacing w:before="88" w:line="316" w:lineRule="auto"/>
        <w:ind w:right="-2"/>
      </w:pPr>
      <w:r>
        <w:t xml:space="preserve">The HEIs are responsible for ensuring that </w:t>
      </w:r>
      <w:r w:rsidR="1CFEAE1B">
        <w:t>learner knowledge and skill development is evidenced</w:t>
      </w:r>
      <w:r w:rsidR="46330DCA">
        <w:t xml:space="preserve"> to the level required to complete the pre-registration SLT programme</w:t>
      </w:r>
      <w:r w:rsidR="5E1C93FD">
        <w:t xml:space="preserve">, and to meet the requirements for professional audit.  </w:t>
      </w:r>
    </w:p>
    <w:p w14:paraId="4FDF0FB1" w14:textId="161A719E" w:rsidR="00074577" w:rsidRPr="00074577" w:rsidRDefault="00074577" w:rsidP="00074577">
      <w:pPr>
        <w:pStyle w:val="BodyText"/>
        <w:spacing w:before="88" w:line="316" w:lineRule="auto"/>
        <w:ind w:right="-2"/>
      </w:pPr>
      <w:r>
        <w:t>This document assumes that entry-level competency equates to the knowledge and skills of an NQP. Entry-level learners will require the same level of support with respect to EDS as they do in all other areas of practice</w:t>
      </w:r>
      <w:r w:rsidR="1F4E6E23">
        <w:t xml:space="preserve">, although will need to evidence </w:t>
      </w:r>
      <w:r w:rsidR="0AEFFE54">
        <w:t xml:space="preserve">sign off of all of the Foundation level competencies (link to RCSLT EDS Competency framework 2025) </w:t>
      </w:r>
      <w:r w:rsidR="5FDF5FC5">
        <w:t xml:space="preserve">and be starting to achieve some of the competencies at the Proficient level, </w:t>
      </w:r>
      <w:r w:rsidR="0AEFFE54">
        <w:t>b</w:t>
      </w:r>
      <w:r w:rsidR="5B6A0412">
        <w:t>efore they can work autonomously with service users</w:t>
      </w:r>
      <w:r w:rsidR="007B4B71">
        <w:t>.</w:t>
      </w:r>
    </w:p>
    <w:p w14:paraId="3B69E8B8" w14:textId="0E912CEF" w:rsidR="00074577" w:rsidRPr="00074577" w:rsidRDefault="003133B8" w:rsidP="00115C11">
      <w:pPr>
        <w:pStyle w:val="Heading2"/>
      </w:pPr>
      <w:bookmarkStart w:id="44" w:name="_Toc203664688"/>
      <w:bookmarkStart w:id="45" w:name="_Toc207803404"/>
      <w:bookmarkStart w:id="46" w:name="_Toc60024"/>
      <w:r>
        <w:t xml:space="preserve">4.3 </w:t>
      </w:r>
      <w:r w:rsidR="00074577" w:rsidRPr="00074577">
        <w:t>Practice placement-specific activities across speech and language therapy learner competency development</w:t>
      </w:r>
      <w:bookmarkEnd w:id="44"/>
      <w:bookmarkEnd w:id="45"/>
      <w:r w:rsidR="00074577" w:rsidRPr="00074577">
        <w:t xml:space="preserve"> </w:t>
      </w:r>
      <w:bookmarkEnd w:id="46"/>
    </w:p>
    <w:p w14:paraId="6911B880" w14:textId="77777777" w:rsidR="00074577" w:rsidRPr="00074577" w:rsidRDefault="00074577" w:rsidP="00074577">
      <w:pPr>
        <w:pStyle w:val="BodyText"/>
        <w:spacing w:before="88" w:line="316" w:lineRule="auto"/>
        <w:ind w:right="-2"/>
      </w:pPr>
      <w:r w:rsidRPr="00074577">
        <w:t xml:space="preserve">Activities should be matched to the competency levels of the speech and language therapy learners as they progress through each practice placement. Learners must inform practice educators of their competency levels in EDS and associated disorders as part of their practice placement preparation. Speech and language therapy learners should identify areas of learning for focused/further development to discuss with each practice educator. </w:t>
      </w:r>
    </w:p>
    <w:p w14:paraId="67E008A6" w14:textId="49060EBC" w:rsidR="00074577" w:rsidRPr="00074577" w:rsidRDefault="005A33E3" w:rsidP="00115C11">
      <w:pPr>
        <w:pStyle w:val="Heading3"/>
      </w:pPr>
      <w:bookmarkStart w:id="47" w:name="_Toc207803405"/>
      <w:bookmarkStart w:id="48" w:name="_Toc60025"/>
      <w:r>
        <w:t xml:space="preserve">4.3.1 </w:t>
      </w:r>
      <w:r w:rsidR="00074577" w:rsidRPr="00074577">
        <w:t>Early competency development</w:t>
      </w:r>
      <w:bookmarkEnd w:id="47"/>
      <w:r w:rsidR="00074577" w:rsidRPr="00074577">
        <w:t xml:space="preserve"> </w:t>
      </w:r>
      <w:bookmarkEnd w:id="48"/>
    </w:p>
    <w:p w14:paraId="18B8B5B4" w14:textId="77777777" w:rsidR="00074577" w:rsidRPr="00074577" w:rsidRDefault="00074577" w:rsidP="00074577">
      <w:pPr>
        <w:pStyle w:val="BodyText"/>
        <w:spacing w:before="88" w:line="316" w:lineRule="auto"/>
        <w:ind w:right="-2"/>
      </w:pPr>
      <w:r w:rsidRPr="00074577">
        <w:t xml:space="preserve">At the start of their studies, speech and language therapy learners have a minimal knowledge base and limited experience in clinical practice. The speech and language therapy learner is expected to make structured observations of an individual’s eating and drinking, including identification of EDS difficulties. Observations are recommended in all areas of clinical activity </w:t>
      </w:r>
      <w:r w:rsidRPr="00074577">
        <w:lastRenderedPageBreak/>
        <w:t xml:space="preserve">and in all settings. </w:t>
      </w:r>
    </w:p>
    <w:p w14:paraId="011F755D" w14:textId="011BBEE3" w:rsidR="00074577" w:rsidRPr="00074577" w:rsidRDefault="00074577" w:rsidP="00074577">
      <w:pPr>
        <w:pStyle w:val="BodyText"/>
        <w:spacing w:before="88" w:line="316" w:lineRule="auto"/>
        <w:ind w:right="-2"/>
      </w:pPr>
      <w:r w:rsidRPr="6FE73CE5">
        <w:rPr>
          <w:b/>
          <w:bCs/>
        </w:rPr>
        <w:t xml:space="preserve">Suggested practice-placement activities for learners at this level </w:t>
      </w:r>
      <w:r w:rsidR="514F55A7" w:rsidRPr="6FE73CE5">
        <w:rPr>
          <w:b/>
          <w:bCs/>
        </w:rPr>
        <w:t xml:space="preserve">can </w:t>
      </w:r>
      <w:r w:rsidRPr="6FE73CE5">
        <w:rPr>
          <w:b/>
          <w:bCs/>
        </w:rPr>
        <w:t>include</w:t>
      </w:r>
      <w:r w:rsidR="5A7FD41C" w:rsidRPr="6FE73CE5">
        <w:rPr>
          <w:b/>
          <w:bCs/>
        </w:rPr>
        <w:t xml:space="preserve"> evidence of</w:t>
      </w:r>
      <w:r w:rsidRPr="6FE73CE5">
        <w:rPr>
          <w:b/>
          <w:bCs/>
        </w:rPr>
        <w:t xml:space="preserve">: </w:t>
      </w:r>
    </w:p>
    <w:p w14:paraId="2EE62264" w14:textId="749544A4" w:rsidR="00074577" w:rsidRPr="00074577" w:rsidRDefault="00074577" w:rsidP="00B41472">
      <w:pPr>
        <w:pStyle w:val="BodyText"/>
        <w:numPr>
          <w:ilvl w:val="0"/>
          <w:numId w:val="40"/>
        </w:numPr>
        <w:spacing w:before="88" w:line="316" w:lineRule="auto"/>
        <w:ind w:right="-2"/>
      </w:pPr>
      <w:r>
        <w:t xml:space="preserve">Observation of people, including those with EDS difficulties, to develop awareness of the impact of difficulties in this area on daily living, and </w:t>
      </w:r>
      <w:r w:rsidR="7223BE80">
        <w:t>understanding of</w:t>
      </w:r>
      <w:r>
        <w:t xml:space="preserve">: </w:t>
      </w:r>
    </w:p>
    <w:p w14:paraId="4DC2133F" w14:textId="77777777" w:rsidR="00074577" w:rsidRPr="00074577" w:rsidRDefault="00074577" w:rsidP="002C5FEC">
      <w:pPr>
        <w:pStyle w:val="NoSpacing"/>
        <w:numPr>
          <w:ilvl w:val="0"/>
          <w:numId w:val="24"/>
        </w:numPr>
      </w:pPr>
      <w:r w:rsidRPr="00074577">
        <w:t xml:space="preserve">the interplay of social interaction and communication with EDS difficulties </w:t>
      </w:r>
    </w:p>
    <w:p w14:paraId="437EB007" w14:textId="5078DD12" w:rsidR="00074577" w:rsidRPr="00074577" w:rsidRDefault="00074577" w:rsidP="002C5FEC">
      <w:pPr>
        <w:pStyle w:val="NoSpacing"/>
        <w:numPr>
          <w:ilvl w:val="0"/>
          <w:numId w:val="24"/>
        </w:numPr>
      </w:pPr>
      <w:r w:rsidRPr="00074577">
        <w:t xml:space="preserve">the effects of environment, posture, and cognitive and behavioural function on EDS </w:t>
      </w:r>
    </w:p>
    <w:p w14:paraId="0ECEC0C1" w14:textId="58E90691" w:rsidR="00074577" w:rsidRDefault="00074577" w:rsidP="00903B3F">
      <w:pPr>
        <w:pStyle w:val="NoSpacing"/>
        <w:numPr>
          <w:ilvl w:val="0"/>
          <w:numId w:val="24"/>
        </w:numPr>
      </w:pPr>
      <w:r w:rsidRPr="00074577">
        <w:t xml:space="preserve">eating/feeding techniques/adaptations. </w:t>
      </w:r>
    </w:p>
    <w:p w14:paraId="014C51A1" w14:textId="77777777" w:rsidR="00903B3F" w:rsidRPr="00074577" w:rsidRDefault="00903B3F" w:rsidP="00903B3F">
      <w:pPr>
        <w:pStyle w:val="NoSpacing"/>
        <w:ind w:left="1080"/>
      </w:pPr>
    </w:p>
    <w:p w14:paraId="2EA28A3F" w14:textId="67F00E7E" w:rsidR="00074577" w:rsidRPr="00074577" w:rsidRDefault="00074577" w:rsidP="00B41472">
      <w:pPr>
        <w:pStyle w:val="BodyText"/>
        <w:numPr>
          <w:ilvl w:val="0"/>
          <w:numId w:val="40"/>
        </w:numPr>
        <w:spacing w:before="88" w:line="316" w:lineRule="auto"/>
        <w:ind w:right="-2"/>
      </w:pPr>
      <w:r w:rsidRPr="00074577">
        <w:t xml:space="preserve">Observation of the practice educator/experienced clinician when they: </w:t>
      </w:r>
    </w:p>
    <w:p w14:paraId="2C9E5A85" w14:textId="77777777" w:rsidR="00074577" w:rsidRPr="00074577" w:rsidRDefault="00074577" w:rsidP="00903B3F">
      <w:pPr>
        <w:pStyle w:val="NoSpacing"/>
        <w:numPr>
          <w:ilvl w:val="0"/>
          <w:numId w:val="25"/>
        </w:numPr>
      </w:pPr>
      <w:r w:rsidRPr="00074577">
        <w:t xml:space="preserve">obtain relevant information from medical and nursing notes and/or referral letters </w:t>
      </w:r>
    </w:p>
    <w:p w14:paraId="52036CAB" w14:textId="77777777" w:rsidR="00074577" w:rsidRPr="00074577" w:rsidRDefault="00074577" w:rsidP="00903B3F">
      <w:pPr>
        <w:pStyle w:val="NoSpacing"/>
        <w:numPr>
          <w:ilvl w:val="0"/>
          <w:numId w:val="25"/>
        </w:numPr>
      </w:pPr>
      <w:r w:rsidRPr="00074577">
        <w:t xml:space="preserve">take case histories from service users/families/carers </w:t>
      </w:r>
    </w:p>
    <w:p w14:paraId="686CB97B" w14:textId="77777777" w:rsidR="00074577" w:rsidRPr="00074577" w:rsidRDefault="00074577" w:rsidP="00903B3F">
      <w:pPr>
        <w:pStyle w:val="NoSpacing"/>
        <w:numPr>
          <w:ilvl w:val="0"/>
          <w:numId w:val="25"/>
        </w:numPr>
      </w:pPr>
      <w:r w:rsidRPr="00074577">
        <w:t xml:space="preserve">carry out structured clinical EDS assessments </w:t>
      </w:r>
    </w:p>
    <w:p w14:paraId="2E1489F6" w14:textId="77777777" w:rsidR="00074577" w:rsidRPr="00074577" w:rsidRDefault="00074577" w:rsidP="00903B3F">
      <w:pPr>
        <w:pStyle w:val="NoSpacing"/>
        <w:numPr>
          <w:ilvl w:val="0"/>
          <w:numId w:val="25"/>
        </w:numPr>
      </w:pPr>
      <w:r w:rsidRPr="00074577">
        <w:t xml:space="preserve">carry out EDS-associated interventions </w:t>
      </w:r>
    </w:p>
    <w:p w14:paraId="64FD79E2" w14:textId="77777777" w:rsidR="00074577" w:rsidRPr="00074577" w:rsidRDefault="00074577" w:rsidP="00903B3F">
      <w:pPr>
        <w:pStyle w:val="NoSpacing"/>
        <w:numPr>
          <w:ilvl w:val="0"/>
          <w:numId w:val="25"/>
        </w:numPr>
      </w:pPr>
      <w:r w:rsidRPr="00074577">
        <w:t xml:space="preserve">provide feedback to service users and/or families/carers </w:t>
      </w:r>
    </w:p>
    <w:p w14:paraId="6B39B2EF" w14:textId="77777777" w:rsidR="00074577" w:rsidRPr="00074577" w:rsidRDefault="00074577" w:rsidP="00903B3F">
      <w:pPr>
        <w:pStyle w:val="NoSpacing"/>
        <w:numPr>
          <w:ilvl w:val="0"/>
          <w:numId w:val="25"/>
        </w:numPr>
      </w:pPr>
      <w:r w:rsidRPr="00074577">
        <w:t xml:space="preserve">provide feedback to other professionals </w:t>
      </w:r>
    </w:p>
    <w:p w14:paraId="1F9260E1" w14:textId="77777777" w:rsidR="00074577" w:rsidRPr="00074577" w:rsidRDefault="00074577" w:rsidP="00903B3F">
      <w:pPr>
        <w:pStyle w:val="NoSpacing"/>
        <w:numPr>
          <w:ilvl w:val="0"/>
          <w:numId w:val="25"/>
        </w:numPr>
      </w:pPr>
      <w:r w:rsidRPr="00074577">
        <w:t xml:space="preserve">document findings of assessment and management sessions. </w:t>
      </w:r>
    </w:p>
    <w:p w14:paraId="4D9B5A59" w14:textId="77777777" w:rsidR="00074577" w:rsidRPr="00074577" w:rsidRDefault="00074577" w:rsidP="00074577">
      <w:pPr>
        <w:pStyle w:val="BodyText"/>
        <w:spacing w:before="88" w:line="316" w:lineRule="auto"/>
        <w:ind w:right="-2"/>
      </w:pPr>
      <w:r w:rsidRPr="00074577">
        <w:t xml:space="preserve"> </w:t>
      </w:r>
    </w:p>
    <w:p w14:paraId="5BE5F487" w14:textId="77777777" w:rsidR="00074577" w:rsidRPr="00074577" w:rsidRDefault="00074577" w:rsidP="00B41472">
      <w:pPr>
        <w:pStyle w:val="BodyText"/>
        <w:numPr>
          <w:ilvl w:val="0"/>
          <w:numId w:val="40"/>
        </w:numPr>
        <w:spacing w:before="88" w:line="316" w:lineRule="auto"/>
        <w:ind w:right="-2"/>
      </w:pPr>
      <w:r w:rsidRPr="00074577">
        <w:t xml:space="preserve">Observation of other team members working with service users/families/carers on areas related to EDS management, such as positioning, diet, etc. </w:t>
      </w:r>
    </w:p>
    <w:p w14:paraId="1FE2C3F9" w14:textId="269C6DA3" w:rsidR="00074577" w:rsidRPr="00074577" w:rsidRDefault="00074577" w:rsidP="00074577">
      <w:pPr>
        <w:pStyle w:val="BodyText"/>
        <w:spacing w:before="88" w:line="316" w:lineRule="auto"/>
        <w:ind w:right="-2"/>
      </w:pPr>
      <w:r w:rsidRPr="00074577">
        <w:t>Speech and language therapy learners should carry out tasks to prepare them for active involvement in the assessment and management of service users with EDS difficulties, e.g. developing familiarity with utensils</w:t>
      </w:r>
      <w:r w:rsidR="00832405">
        <w:t xml:space="preserve"> and</w:t>
      </w:r>
      <w:r w:rsidRPr="00074577">
        <w:t xml:space="preserve"> materials used in swallowing assessment/feeding sessions, assisting SLTs in preparing for assessments, and practising techniques observed with peers. </w:t>
      </w:r>
    </w:p>
    <w:p w14:paraId="5984F4A2" w14:textId="18227136" w:rsidR="00074577" w:rsidRPr="00074577" w:rsidRDefault="00A24416" w:rsidP="00115C11">
      <w:pPr>
        <w:pStyle w:val="Heading3"/>
      </w:pPr>
      <w:bookmarkStart w:id="49" w:name="_Toc207803406"/>
      <w:bookmarkStart w:id="50" w:name="_Toc60026"/>
      <w:r>
        <w:t xml:space="preserve">4.3.2 </w:t>
      </w:r>
      <w:r w:rsidR="00074577" w:rsidRPr="00074577">
        <w:t>Competency progression</w:t>
      </w:r>
      <w:bookmarkEnd w:id="49"/>
      <w:r w:rsidR="00074577" w:rsidRPr="00074577">
        <w:t xml:space="preserve"> </w:t>
      </w:r>
      <w:bookmarkEnd w:id="50"/>
    </w:p>
    <w:p w14:paraId="5CA9C823" w14:textId="4F1B47A6" w:rsidR="00074577" w:rsidRPr="00074577" w:rsidRDefault="00074577" w:rsidP="00074577">
      <w:pPr>
        <w:pStyle w:val="BodyText"/>
        <w:spacing w:before="88" w:line="316" w:lineRule="auto"/>
        <w:ind w:right="-2"/>
      </w:pPr>
      <w:r w:rsidRPr="00074577">
        <w:t xml:space="preserve">As speech and language therapy learners progress, they will acquire the knowledge and skills to participate in a range of contexts. Speech and language therapy learners will need guidance and supervision to ensure that their competencies develop, transfer, and stabilise across a range of service user needs and contexts. Speech and language therapy learners may need direction and guidance to link assessment findings to management plans. </w:t>
      </w:r>
    </w:p>
    <w:p w14:paraId="786FC605" w14:textId="4EE214CD" w:rsidR="00074577" w:rsidRPr="00074577" w:rsidRDefault="00074577" w:rsidP="00074577">
      <w:pPr>
        <w:pStyle w:val="BodyText"/>
        <w:spacing w:before="88" w:line="316" w:lineRule="auto"/>
        <w:ind w:right="-2"/>
      </w:pPr>
      <w:r>
        <w:t>Learners should actively research to link theory to practice prior to</w:t>
      </w:r>
      <w:r w:rsidR="3FD2125C">
        <w:t>,</w:t>
      </w:r>
      <w:r>
        <w:t xml:space="preserve"> </w:t>
      </w:r>
      <w:r w:rsidR="3315F971">
        <w:t xml:space="preserve">and during </w:t>
      </w:r>
      <w:r>
        <w:t xml:space="preserve">the practice placement experience. As they develop their competencies, they will benefit from the inclusion of the following: </w:t>
      </w:r>
    </w:p>
    <w:p w14:paraId="730CAFD0" w14:textId="77777777" w:rsidR="00074577" w:rsidRPr="00074577" w:rsidRDefault="00074577" w:rsidP="00A24416">
      <w:pPr>
        <w:pStyle w:val="BodyText"/>
        <w:numPr>
          <w:ilvl w:val="0"/>
          <w:numId w:val="27"/>
        </w:numPr>
        <w:spacing w:before="88" w:line="316" w:lineRule="auto"/>
        <w:ind w:right="-2"/>
      </w:pPr>
      <w:r w:rsidRPr="00074577">
        <w:lastRenderedPageBreak/>
        <w:t xml:space="preserve">outline of service user groups with EDS difficulties likely to be encountered on the practice placement </w:t>
      </w:r>
    </w:p>
    <w:p w14:paraId="48C1C476" w14:textId="77777777" w:rsidR="00074577" w:rsidRPr="00074577" w:rsidRDefault="00074577" w:rsidP="00A24416">
      <w:pPr>
        <w:pStyle w:val="BodyText"/>
        <w:numPr>
          <w:ilvl w:val="0"/>
          <w:numId w:val="27"/>
        </w:numPr>
        <w:spacing w:before="88" w:line="316" w:lineRule="auto"/>
        <w:ind w:right="-2"/>
      </w:pPr>
      <w:r w:rsidRPr="00074577">
        <w:t xml:space="preserve">service provider-specific assessment procedures/protocols/support materials and recommended readings. </w:t>
      </w:r>
    </w:p>
    <w:p w14:paraId="4C9AAD1F" w14:textId="44BBD78D" w:rsidR="00074577" w:rsidRPr="00074577" w:rsidRDefault="00074577" w:rsidP="00074577">
      <w:pPr>
        <w:pStyle w:val="BodyText"/>
        <w:spacing w:before="88" w:line="316" w:lineRule="auto"/>
        <w:ind w:right="-2"/>
      </w:pPr>
      <w:r>
        <w:t>While on practice placement, speech and language therapy learners should (with supervision as required)</w:t>
      </w:r>
      <w:r w:rsidR="7109957E">
        <w:t xml:space="preserve"> be able to provide evidence that they can</w:t>
      </w:r>
      <w:r>
        <w:t xml:space="preserve">: </w:t>
      </w:r>
    </w:p>
    <w:p w14:paraId="64F05853" w14:textId="77777777" w:rsidR="00074577" w:rsidRPr="00074577" w:rsidRDefault="00074577" w:rsidP="00A24416">
      <w:pPr>
        <w:pStyle w:val="BodyText"/>
        <w:numPr>
          <w:ilvl w:val="0"/>
          <w:numId w:val="28"/>
        </w:numPr>
        <w:spacing w:before="88" w:line="316" w:lineRule="auto"/>
        <w:ind w:right="-2"/>
      </w:pPr>
      <w:r w:rsidRPr="00074577">
        <w:t xml:space="preserve">participate in informed discussion with practice educators on the importance of cultural humility around EDS considerations for each individual service user  </w:t>
      </w:r>
    </w:p>
    <w:p w14:paraId="73794EBA" w14:textId="77777777" w:rsidR="00074577" w:rsidRPr="00074577" w:rsidRDefault="00074577" w:rsidP="00A24416">
      <w:pPr>
        <w:pStyle w:val="BodyText"/>
        <w:numPr>
          <w:ilvl w:val="0"/>
          <w:numId w:val="28"/>
        </w:numPr>
        <w:spacing w:before="88" w:line="316" w:lineRule="auto"/>
        <w:ind w:right="-2"/>
      </w:pPr>
      <w:r w:rsidRPr="00074577">
        <w:t xml:space="preserve">identify information required to guide assessment planning </w:t>
      </w:r>
    </w:p>
    <w:p w14:paraId="0FCE28F7" w14:textId="77777777" w:rsidR="00074577" w:rsidRPr="00074577" w:rsidRDefault="00074577" w:rsidP="00A24416">
      <w:pPr>
        <w:pStyle w:val="BodyText"/>
        <w:numPr>
          <w:ilvl w:val="0"/>
          <w:numId w:val="28"/>
        </w:numPr>
        <w:spacing w:before="88" w:line="316" w:lineRule="auto"/>
        <w:ind w:right="-2"/>
      </w:pPr>
      <w:r w:rsidRPr="00074577">
        <w:t xml:space="preserve">obtain relevant information from case notes </w:t>
      </w:r>
    </w:p>
    <w:p w14:paraId="730634B7" w14:textId="77777777" w:rsidR="00074577" w:rsidRPr="00074577" w:rsidRDefault="00074577" w:rsidP="00A24416">
      <w:pPr>
        <w:pStyle w:val="BodyText"/>
        <w:numPr>
          <w:ilvl w:val="0"/>
          <w:numId w:val="28"/>
        </w:numPr>
        <w:spacing w:before="88" w:line="316" w:lineRule="auto"/>
        <w:ind w:right="-2"/>
      </w:pPr>
      <w:r w:rsidRPr="00074577">
        <w:t xml:space="preserve">expand on background information through case histories from service users and families/carers and discussion with relevant professionals </w:t>
      </w:r>
    </w:p>
    <w:p w14:paraId="50213808" w14:textId="77777777" w:rsidR="00074577" w:rsidRPr="00074577" w:rsidRDefault="00074577" w:rsidP="00A24416">
      <w:pPr>
        <w:pStyle w:val="BodyText"/>
        <w:numPr>
          <w:ilvl w:val="0"/>
          <w:numId w:val="28"/>
        </w:numPr>
        <w:spacing w:before="88" w:line="316" w:lineRule="auto"/>
        <w:ind w:right="-2"/>
      </w:pPr>
      <w:r w:rsidRPr="00074577">
        <w:t xml:space="preserve">identify and implement appropriate EDS examinations </w:t>
      </w:r>
    </w:p>
    <w:p w14:paraId="256F65CC" w14:textId="77777777" w:rsidR="00074577" w:rsidRPr="00074577" w:rsidRDefault="00074577" w:rsidP="00A24416">
      <w:pPr>
        <w:pStyle w:val="BodyText"/>
        <w:numPr>
          <w:ilvl w:val="0"/>
          <w:numId w:val="28"/>
        </w:numPr>
        <w:spacing w:before="88" w:line="316" w:lineRule="auto"/>
        <w:ind w:right="-2"/>
      </w:pPr>
      <w:r w:rsidRPr="00074577">
        <w:t xml:space="preserve">share information on findings with service users/families/carers and relevant others </w:t>
      </w:r>
    </w:p>
    <w:p w14:paraId="3DA10340" w14:textId="77777777" w:rsidR="00074577" w:rsidRPr="00074577" w:rsidRDefault="00074577" w:rsidP="00A24416">
      <w:pPr>
        <w:pStyle w:val="BodyText"/>
        <w:numPr>
          <w:ilvl w:val="0"/>
          <w:numId w:val="28"/>
        </w:numPr>
        <w:spacing w:before="88" w:line="316" w:lineRule="auto"/>
        <w:ind w:right="-2"/>
      </w:pPr>
      <w:r w:rsidRPr="00074577">
        <w:t xml:space="preserve">write draft case notes and draft evaluation reports and recommendations for management of service users’ EDS </w:t>
      </w:r>
    </w:p>
    <w:p w14:paraId="6506744E" w14:textId="77777777" w:rsidR="00074577" w:rsidRPr="00074577" w:rsidRDefault="00074577" w:rsidP="00A24416">
      <w:pPr>
        <w:pStyle w:val="BodyText"/>
        <w:numPr>
          <w:ilvl w:val="0"/>
          <w:numId w:val="28"/>
        </w:numPr>
        <w:spacing w:before="88" w:line="316" w:lineRule="auto"/>
        <w:ind w:right="-2"/>
      </w:pPr>
      <w:r w:rsidRPr="00074577">
        <w:t xml:space="preserve">carry out EDS therapy programmes initiated by the practice educator </w:t>
      </w:r>
    </w:p>
    <w:p w14:paraId="43A8CE2B" w14:textId="77777777" w:rsidR="00074577" w:rsidRPr="00074577" w:rsidRDefault="00074577" w:rsidP="00A24416">
      <w:pPr>
        <w:pStyle w:val="BodyText"/>
        <w:numPr>
          <w:ilvl w:val="0"/>
          <w:numId w:val="28"/>
        </w:numPr>
        <w:spacing w:before="88" w:line="316" w:lineRule="auto"/>
        <w:ind w:right="-2"/>
      </w:pPr>
      <w:r w:rsidRPr="00074577">
        <w:t xml:space="preserve">participate in informed discussion with the practice educator on medical, legal, and ethical considerations, including the concepts of autonomy, consent, and capacity </w:t>
      </w:r>
    </w:p>
    <w:p w14:paraId="3DFA2ECC" w14:textId="77777777" w:rsidR="00074577" w:rsidRPr="00074577" w:rsidRDefault="00074577" w:rsidP="00A24416">
      <w:pPr>
        <w:pStyle w:val="BodyText"/>
        <w:numPr>
          <w:ilvl w:val="0"/>
          <w:numId w:val="28"/>
        </w:numPr>
        <w:spacing w:before="88" w:line="316" w:lineRule="auto"/>
        <w:ind w:right="-2"/>
      </w:pPr>
      <w:r w:rsidRPr="00074577">
        <w:t xml:space="preserve">write guidelines for nursing and other professional staff/families/carers </w:t>
      </w:r>
    </w:p>
    <w:p w14:paraId="1BEC9110" w14:textId="274DB750" w:rsidR="00074577" w:rsidRPr="00074577" w:rsidRDefault="00074577" w:rsidP="00074577">
      <w:pPr>
        <w:pStyle w:val="BodyText"/>
        <w:numPr>
          <w:ilvl w:val="0"/>
          <w:numId w:val="28"/>
        </w:numPr>
        <w:spacing w:before="88" w:line="316" w:lineRule="auto"/>
        <w:ind w:right="-2"/>
      </w:pPr>
      <w:r w:rsidRPr="00074577">
        <w:t xml:space="preserve">share information at MDT meeting/ward round regarding assessment findings. </w:t>
      </w:r>
    </w:p>
    <w:p w14:paraId="5D85D6FF" w14:textId="7617DC19" w:rsidR="00074577" w:rsidRPr="00074577" w:rsidRDefault="00835668" w:rsidP="00115C11">
      <w:pPr>
        <w:pStyle w:val="Heading3"/>
      </w:pPr>
      <w:bookmarkStart w:id="51" w:name="_Toc207803407"/>
      <w:bookmarkStart w:id="52" w:name="_Toc60027"/>
      <w:r>
        <w:t xml:space="preserve">4.3.3 </w:t>
      </w:r>
      <w:r w:rsidR="00074577" w:rsidRPr="00074577">
        <w:t>Entry level</w:t>
      </w:r>
      <w:bookmarkEnd w:id="51"/>
      <w:r w:rsidR="00074577" w:rsidRPr="00074577">
        <w:t xml:space="preserve"> </w:t>
      </w:r>
      <w:bookmarkEnd w:id="52"/>
    </w:p>
    <w:p w14:paraId="560082A1" w14:textId="7D013588" w:rsidR="00074577" w:rsidRPr="00074577" w:rsidRDefault="00074577" w:rsidP="00074577">
      <w:pPr>
        <w:pStyle w:val="BodyText"/>
        <w:spacing w:before="88" w:line="316" w:lineRule="auto"/>
        <w:ind w:right="-2"/>
      </w:pPr>
      <w:r>
        <w:t xml:space="preserve">At the point of </w:t>
      </w:r>
      <w:r w:rsidR="49C5FA6C">
        <w:t xml:space="preserve">completion of the pre-registration programme, </w:t>
      </w:r>
      <w:r>
        <w:t>entry-level speech and language therapy</w:t>
      </w:r>
      <w:r w:rsidRPr="6FE73CE5">
        <w:rPr>
          <w:b/>
          <w:bCs/>
        </w:rPr>
        <w:t xml:space="preserve"> </w:t>
      </w:r>
      <w:r>
        <w:t xml:space="preserve">learners will </w:t>
      </w:r>
      <w:r w:rsidR="40182139">
        <w:t xml:space="preserve">present evidence of knowledge and skill development </w:t>
      </w:r>
      <w:r>
        <w:t>in the assessment and management of EDS, working with service users and MDT across a range of settings including health, social care, and education. Entry-level learners will require the same level of support with respect to EDS as they do in all other areas of practice. They should complete the foundation level of the SLT EDS competencies before working autonomously.</w:t>
      </w:r>
    </w:p>
    <w:p w14:paraId="6CA0494E" w14:textId="634DD2B7" w:rsidR="00074577" w:rsidRPr="00074577" w:rsidRDefault="00835668" w:rsidP="00115C11">
      <w:pPr>
        <w:pStyle w:val="Heading2"/>
      </w:pPr>
      <w:bookmarkStart w:id="53" w:name="_Toc203664689"/>
      <w:bookmarkStart w:id="54" w:name="_Toc207803408"/>
      <w:bookmarkStart w:id="55" w:name="_Toc60028"/>
      <w:r>
        <w:lastRenderedPageBreak/>
        <w:t xml:space="preserve">4.4 </w:t>
      </w:r>
      <w:r w:rsidR="00074577" w:rsidRPr="00074577">
        <w:t>Assessment of learner competency levels</w:t>
      </w:r>
      <w:bookmarkEnd w:id="53"/>
      <w:bookmarkEnd w:id="54"/>
      <w:r w:rsidR="00074577" w:rsidRPr="00074577">
        <w:t xml:space="preserve"> </w:t>
      </w:r>
      <w:bookmarkEnd w:id="55"/>
    </w:p>
    <w:p w14:paraId="628F5259" w14:textId="10DFC591" w:rsidR="00B023BB" w:rsidRDefault="00074577" w:rsidP="00074577">
      <w:pPr>
        <w:pStyle w:val="BodyText"/>
        <w:spacing w:before="88" w:line="316" w:lineRule="auto"/>
        <w:ind w:right="-2"/>
      </w:pPr>
      <w:r>
        <w:t xml:space="preserve">Learning is evaluated through a range of formats, as designed by individual HEIs. This evaluation follows the acquisition of knowledge and skills developed through a range of formats, including lectures, case-based exercises, video learning, preclinical skills workshops and practice-based learning. </w:t>
      </w:r>
      <w:r w:rsidR="2CCFE696">
        <w:t xml:space="preserve">Learners should evidence their knowledge and skill development against </w:t>
      </w:r>
      <w:r w:rsidR="79AB1E00">
        <w:t xml:space="preserve">a minimum of </w:t>
      </w:r>
      <w:r w:rsidR="2CCFE696">
        <w:t xml:space="preserve">16 out of the 20 pre-registration EDS competencies. </w:t>
      </w:r>
    </w:p>
    <w:p w14:paraId="0FD34BB7" w14:textId="7A76628D" w:rsidR="00B023BB" w:rsidRDefault="00074577" w:rsidP="00074577">
      <w:pPr>
        <w:pStyle w:val="BodyText"/>
        <w:spacing w:before="88" w:line="316" w:lineRule="auto"/>
        <w:ind w:right="-2"/>
      </w:pPr>
      <w:r>
        <w:t>The certifying practice educator for each item may be a member of the HEI staff or a clinical partner, as appropriate.</w:t>
      </w:r>
      <w:r w:rsidRPr="6FE73CE5">
        <w:rPr>
          <w:b/>
          <w:bCs/>
        </w:rPr>
        <w:t xml:space="preserve"> </w:t>
      </w:r>
      <w:r w:rsidR="507E621A" w:rsidRPr="00A21F3A">
        <w:t xml:space="preserve">Each </w:t>
      </w:r>
      <w:r w:rsidR="007A3B71">
        <w:t xml:space="preserve">competence </w:t>
      </w:r>
      <w:r w:rsidR="18396134">
        <w:t xml:space="preserve">needs </w:t>
      </w:r>
      <w:r w:rsidR="007A3B71">
        <w:t xml:space="preserve">to be verified </w:t>
      </w:r>
      <w:r w:rsidR="00A21F3A">
        <w:t>twice</w:t>
      </w:r>
      <w:r w:rsidR="607D7F00">
        <w:t xml:space="preserve">. </w:t>
      </w:r>
      <w:r w:rsidR="4C20B1FB">
        <w:t>Th</w:t>
      </w:r>
      <w:r w:rsidR="007A3B71">
        <w:t>e practice educator will confirm that the learner has appropriately evidenced the competence in their setting on one occasion with a non-complex case (where relevant).</w:t>
      </w:r>
      <w:r w:rsidR="00DD2DB1">
        <w:t xml:space="preserve"> If seen on another occasion within the same setting the competency can be evidenced twice.</w:t>
      </w:r>
      <w:r w:rsidR="007A3B71">
        <w:t xml:space="preserve"> The level of support provided by the educator should reflect the student’s stage on the course.</w:t>
      </w:r>
      <w:r w:rsidR="61575633">
        <w:t xml:space="preserve"> As these skills all need to be formally evidenced in relation to the Foundation level of the RCSLT EDS competencies, there i</w:t>
      </w:r>
      <w:r w:rsidR="4A4303DC">
        <w:t>s no specific level of competence expected at the pre-registration level. Levels of knowledge and skill development will vary with each learner</w:t>
      </w:r>
      <w:r w:rsidR="1741FEA2">
        <w:t>. The</w:t>
      </w:r>
      <w:r w:rsidR="4A4303DC">
        <w:t xml:space="preserve"> evidence</w:t>
      </w:r>
      <w:r w:rsidR="4294051D">
        <w:t xml:space="preserve"> that the learner provides </w:t>
      </w:r>
      <w:r w:rsidR="01647D73">
        <w:t xml:space="preserve">should accurately </w:t>
      </w:r>
      <w:r w:rsidR="4294051D">
        <w:t>describe their exposure</w:t>
      </w:r>
      <w:r w:rsidR="17C5C08E">
        <w:t xml:space="preserve"> and </w:t>
      </w:r>
      <w:r w:rsidR="4294051D">
        <w:t>experience</w:t>
      </w:r>
      <w:r w:rsidR="13CDC997">
        <w:t xml:space="preserve"> against the specific competence.</w:t>
      </w:r>
    </w:p>
    <w:p w14:paraId="6972D0FF" w14:textId="77777777" w:rsidR="007A3B71" w:rsidRPr="00A410C9" w:rsidRDefault="007A3B71" w:rsidP="00074577">
      <w:pPr>
        <w:pStyle w:val="BodyText"/>
        <w:spacing w:before="88" w:line="316" w:lineRule="auto"/>
        <w:ind w:right="-2"/>
        <w:rPr>
          <w:b/>
        </w:rPr>
      </w:pPr>
    </w:p>
    <w:p w14:paraId="31EF7837" w14:textId="73BEBCC4" w:rsidR="00074577" w:rsidRPr="00074577" w:rsidRDefault="00074577" w:rsidP="00074577">
      <w:pPr>
        <w:pStyle w:val="BodyText"/>
        <w:spacing w:before="88" w:line="316" w:lineRule="auto"/>
        <w:ind w:right="-2"/>
      </w:pPr>
      <w:r w:rsidRPr="6FE73CE5">
        <w:rPr>
          <w:b/>
          <w:bCs/>
        </w:rPr>
        <w:t xml:space="preserve">At the point of </w:t>
      </w:r>
      <w:r w:rsidR="712A2A07" w:rsidRPr="6FE73CE5">
        <w:rPr>
          <w:b/>
          <w:bCs/>
        </w:rPr>
        <w:t xml:space="preserve">completion of the pre-registration </w:t>
      </w:r>
      <w:r w:rsidR="0056269B" w:rsidRPr="6FE73CE5">
        <w:rPr>
          <w:b/>
          <w:bCs/>
        </w:rPr>
        <w:t>programme, speech</w:t>
      </w:r>
      <w:r w:rsidRPr="6FE73CE5">
        <w:rPr>
          <w:b/>
          <w:bCs/>
        </w:rPr>
        <w:t xml:space="preserve"> and language therapy entry-level learners will have achieved at least 16 out of 20 of the EDS competencies as certified by the HEI and/or associated practice educators. </w:t>
      </w:r>
    </w:p>
    <w:p w14:paraId="4AE39A04" w14:textId="3853D019" w:rsidR="00074577" w:rsidRPr="00074577" w:rsidRDefault="00074577" w:rsidP="00074577">
      <w:pPr>
        <w:pStyle w:val="BodyText"/>
        <w:spacing w:before="88" w:line="316" w:lineRule="auto"/>
        <w:ind w:right="-2"/>
      </w:pPr>
      <w:r>
        <w:t xml:space="preserve">Speech and language therapy learners must retain their own documents that evidence their learning, i.e. a detailed hours log, the competency framework </w:t>
      </w:r>
      <w:r w:rsidR="0056269B">
        <w:t>(These</w:t>
      </w:r>
      <w:r>
        <w:t xml:space="preserve"> are to be included in their professional portfolio for the duration of the clinical education programme (see section 4.2). </w:t>
      </w:r>
    </w:p>
    <w:p w14:paraId="18986299" w14:textId="77777777" w:rsidR="00074577" w:rsidRPr="00074577" w:rsidRDefault="00074577" w:rsidP="00074577">
      <w:pPr>
        <w:pStyle w:val="BodyText"/>
        <w:spacing w:before="88" w:line="316" w:lineRule="auto"/>
        <w:ind w:right="-2"/>
      </w:pPr>
      <w:r w:rsidRPr="00074577">
        <w:t xml:space="preserve"> </w:t>
      </w:r>
    </w:p>
    <w:p w14:paraId="7509CAB9" w14:textId="19F5778D" w:rsidR="00A274A1" w:rsidRDefault="00A274A1">
      <w:pPr>
        <w:rPr>
          <w:rFonts w:eastAsia="Open Sans"/>
        </w:rPr>
      </w:pPr>
      <w:r>
        <w:br w:type="page"/>
      </w:r>
    </w:p>
    <w:p w14:paraId="5449CDC4" w14:textId="2CAD91C2" w:rsidR="00C045B3" w:rsidRDefault="00C045B3" w:rsidP="00115C11">
      <w:pPr>
        <w:pStyle w:val="Heading1"/>
      </w:pPr>
      <w:bookmarkStart w:id="56" w:name="_Toc203664690"/>
      <w:bookmarkStart w:id="57" w:name="_Toc207803409"/>
      <w:bookmarkStart w:id="58" w:name="_Toc60029"/>
      <w:r>
        <w:lastRenderedPageBreak/>
        <w:t>References</w:t>
      </w:r>
      <w:bookmarkEnd w:id="56"/>
      <w:bookmarkEnd w:id="57"/>
      <w:r>
        <w:t xml:space="preserve"> </w:t>
      </w:r>
      <w:bookmarkEnd w:id="58"/>
    </w:p>
    <w:p w14:paraId="2E67BF02" w14:textId="77777777" w:rsidR="00C045B3" w:rsidRDefault="00C045B3" w:rsidP="00C045B3">
      <w:pPr>
        <w:spacing w:after="9"/>
        <w:ind w:left="-5" w:right="5"/>
      </w:pPr>
      <w:r>
        <w:t xml:space="preserve">GIG Cymru/NHS Wales (2019). All Wales speech and language therapy dysphagia training and competency programme. </w:t>
      </w:r>
    </w:p>
    <w:p w14:paraId="5D176B4B" w14:textId="77777777" w:rsidR="00C045B3" w:rsidRDefault="00C045B3" w:rsidP="00C045B3">
      <w:pPr>
        <w:spacing w:after="20"/>
      </w:pPr>
      <w:r>
        <w:t xml:space="preserve"> </w:t>
      </w:r>
    </w:p>
    <w:p w14:paraId="667C0598" w14:textId="78FD1C7B" w:rsidR="00C045B3" w:rsidRDefault="00C045B3" w:rsidP="00C045B3">
      <w:pPr>
        <w:spacing w:after="9"/>
        <w:ind w:left="-5"/>
      </w:pPr>
      <w:r>
        <w:t>HCPC (20</w:t>
      </w:r>
      <w:r w:rsidR="00B41305">
        <w:t>23</w:t>
      </w:r>
      <w:r>
        <w:t xml:space="preserve">). Standards of proficiency – speech and language therapists. [Online]. Available at: </w:t>
      </w:r>
      <w:hyperlink r:id="rId41">
        <w:r>
          <w:rPr>
            <w:rStyle w:val="Hyperlink"/>
          </w:rPr>
          <w:t>https://www.hcpc-uk.org/resources/standards/standards-of-proficiency-speech-and-language-therapists/</w:t>
        </w:r>
      </w:hyperlink>
      <w:hyperlink r:id="rId42">
        <w:r w:rsidRPr="00FB36FA">
          <w:rPr>
            <w:rStyle w:val="Hyperlink"/>
          </w:rPr>
          <w:t>language</w:t>
        </w:r>
      </w:hyperlink>
      <w:hyperlink r:id="rId43">
        <w:r w:rsidRPr="00FB36FA">
          <w:rPr>
            <w:rStyle w:val="Hyperlink"/>
          </w:rPr>
          <w:t>-</w:t>
        </w:r>
      </w:hyperlink>
      <w:hyperlink r:id="rId44">
        <w:r w:rsidRPr="00FB36FA">
          <w:rPr>
            <w:rStyle w:val="Hyperlink"/>
          </w:rPr>
          <w:t>therapists/</w:t>
        </w:r>
      </w:hyperlink>
      <w:hyperlink r:id="rId45">
        <w:r w:rsidRPr="00FB36FA">
          <w:rPr>
            <w:rStyle w:val="Hyperlink"/>
          </w:rPr>
          <w:t xml:space="preserve"> </w:t>
        </w:r>
      </w:hyperlink>
      <w:r w:rsidRPr="00FB36FA">
        <w:rPr>
          <w:rStyle w:val="Hyperlink"/>
        </w:rPr>
        <w:t xml:space="preserve"> </w:t>
      </w:r>
    </w:p>
    <w:p w14:paraId="3EEF80E5" w14:textId="77777777" w:rsidR="00C045B3" w:rsidRDefault="00C045B3" w:rsidP="00C045B3">
      <w:pPr>
        <w:spacing w:after="80"/>
      </w:pPr>
      <w:r>
        <w:t xml:space="preserve"> </w:t>
      </w:r>
    </w:p>
    <w:p w14:paraId="0530A185" w14:textId="3956C22D" w:rsidR="00C045B3" w:rsidRDefault="00C045B3" w:rsidP="00C045B3">
      <w:pPr>
        <w:spacing w:after="33"/>
        <w:ind w:left="-5" w:right="5"/>
      </w:pPr>
      <w:r>
        <w:t>HCPC (20</w:t>
      </w:r>
      <w:r w:rsidR="00B41305">
        <w:t>24</w:t>
      </w:r>
      <w:r>
        <w:t xml:space="preserve">). Standards of conduct, performance and ethics. [Online]. Available at: </w:t>
      </w:r>
      <w:hyperlink r:id="rId46">
        <w:r w:rsidRPr="00FB36FA">
          <w:rPr>
            <w:rStyle w:val="Hyperlink"/>
          </w:rPr>
          <w:t>https://www.hcpc</w:t>
        </w:r>
      </w:hyperlink>
      <w:hyperlink r:id="rId47">
        <w:r w:rsidRPr="00FB36FA">
          <w:rPr>
            <w:rStyle w:val="Hyperlink"/>
          </w:rPr>
          <w:t>-</w:t>
        </w:r>
      </w:hyperlink>
      <w:hyperlink r:id="rId48">
        <w:r w:rsidRPr="00FB36FA">
          <w:rPr>
            <w:rStyle w:val="Hyperlink"/>
          </w:rPr>
          <w:t>uk.org/standards/standards</w:t>
        </w:r>
      </w:hyperlink>
      <w:hyperlink r:id="rId49">
        <w:r w:rsidRPr="00FB36FA">
          <w:rPr>
            <w:rStyle w:val="Hyperlink"/>
          </w:rPr>
          <w:t>-</w:t>
        </w:r>
      </w:hyperlink>
      <w:hyperlink r:id="rId50">
        <w:r w:rsidRPr="00FB36FA">
          <w:rPr>
            <w:rStyle w:val="Hyperlink"/>
          </w:rPr>
          <w:t>of</w:t>
        </w:r>
      </w:hyperlink>
      <w:hyperlink r:id="rId51">
        <w:r w:rsidRPr="00FB36FA">
          <w:rPr>
            <w:rStyle w:val="Hyperlink"/>
          </w:rPr>
          <w:t>-</w:t>
        </w:r>
      </w:hyperlink>
      <w:hyperlink r:id="rId52">
        <w:r w:rsidRPr="00FB36FA">
          <w:rPr>
            <w:rStyle w:val="Hyperlink"/>
          </w:rPr>
          <w:t>conduct</w:t>
        </w:r>
      </w:hyperlink>
      <w:hyperlink r:id="rId53">
        <w:r w:rsidRPr="00FB36FA">
          <w:rPr>
            <w:rStyle w:val="Hyperlink"/>
          </w:rPr>
          <w:t>-</w:t>
        </w:r>
      </w:hyperlink>
      <w:hyperlink r:id="rId54">
        <w:r w:rsidRPr="00FB36FA">
          <w:rPr>
            <w:rStyle w:val="Hyperlink"/>
          </w:rPr>
          <w:t>performance</w:t>
        </w:r>
      </w:hyperlink>
      <w:r w:rsidRPr="00FB36FA">
        <w:rPr>
          <w:rStyle w:val="Hyperlink"/>
        </w:rPr>
        <w:t>-and</w:t>
      </w:r>
      <w:hyperlink r:id="rId55">
        <w:r w:rsidRPr="00FB36FA">
          <w:rPr>
            <w:rStyle w:val="Hyperlink"/>
          </w:rPr>
          <w:t>-</w:t>
        </w:r>
      </w:hyperlink>
      <w:hyperlink r:id="rId56">
        <w:r w:rsidRPr="00FB36FA">
          <w:rPr>
            <w:rStyle w:val="Hyperlink"/>
          </w:rPr>
          <w:t>ethics/</w:t>
        </w:r>
      </w:hyperlink>
      <w:hyperlink r:id="rId57">
        <w:r w:rsidRPr="00FB36FA">
          <w:rPr>
            <w:rStyle w:val="Hyperlink"/>
          </w:rPr>
          <w:t xml:space="preserve"> </w:t>
        </w:r>
      </w:hyperlink>
    </w:p>
    <w:p w14:paraId="35B11401" w14:textId="77777777" w:rsidR="00C045B3" w:rsidRDefault="00C045B3" w:rsidP="00C045B3">
      <w:pPr>
        <w:spacing w:after="36"/>
      </w:pPr>
      <w:r>
        <w:t xml:space="preserve"> </w:t>
      </w:r>
    </w:p>
    <w:p w14:paraId="6559360A" w14:textId="1BBB75BB" w:rsidR="00C045B3" w:rsidRDefault="00C045B3" w:rsidP="00C045B3">
      <w:pPr>
        <w:spacing w:after="9"/>
        <w:ind w:left="-5"/>
      </w:pPr>
      <w:r>
        <w:t>HCPC (2017). Standards of education and training. [Online]. Available at:</w:t>
      </w:r>
      <w:hyperlink r:id="rId58">
        <w:r>
          <w:t xml:space="preserve"> </w:t>
        </w:r>
      </w:hyperlink>
      <w:r w:rsidR="005341BA" w:rsidRPr="005341BA">
        <w:t xml:space="preserve"> </w:t>
      </w:r>
      <w:hyperlink r:id="rId59" w:history="1">
        <w:r w:rsidR="005341BA" w:rsidRPr="00AB3258">
          <w:rPr>
            <w:rStyle w:val="Hyperlink"/>
          </w:rPr>
          <w:t>https://www.hcpc-uk.org/resources/standards/standards-of-education-and-training/</w:t>
        </w:r>
      </w:hyperlink>
      <w:r w:rsidR="005341BA">
        <w:t xml:space="preserve">  </w:t>
      </w:r>
    </w:p>
    <w:p w14:paraId="2A7B0902" w14:textId="77777777" w:rsidR="00C045B3" w:rsidRDefault="00C045B3" w:rsidP="00C045B3">
      <w:pPr>
        <w:spacing w:after="36"/>
      </w:pPr>
      <w:r>
        <w:t xml:space="preserve"> </w:t>
      </w:r>
    </w:p>
    <w:p w14:paraId="4D15505E" w14:textId="77777777" w:rsidR="00C045B3" w:rsidRDefault="00C045B3" w:rsidP="00C045B3">
      <w:pPr>
        <w:spacing w:after="35"/>
        <w:ind w:left="-5" w:right="5"/>
      </w:pPr>
      <w:r>
        <w:t xml:space="preserve">HCPC (2018). Standards of continuing professional development. [Online]. Available at: </w:t>
      </w:r>
      <w:hyperlink r:id="rId60">
        <w:r w:rsidRPr="00963DB4">
          <w:rPr>
            <w:rStyle w:val="Hyperlink"/>
          </w:rPr>
          <w:t>https://www.hcpc</w:t>
        </w:r>
      </w:hyperlink>
      <w:hyperlink r:id="rId61">
        <w:r w:rsidRPr="00963DB4">
          <w:rPr>
            <w:rStyle w:val="Hyperlink"/>
          </w:rPr>
          <w:t>-</w:t>
        </w:r>
      </w:hyperlink>
      <w:hyperlink r:id="rId62">
        <w:r w:rsidRPr="00963DB4">
          <w:rPr>
            <w:rStyle w:val="Hyperlink"/>
          </w:rPr>
          <w:t>uk.org/standards/standards</w:t>
        </w:r>
      </w:hyperlink>
      <w:hyperlink r:id="rId63">
        <w:r w:rsidRPr="00963DB4">
          <w:rPr>
            <w:rStyle w:val="Hyperlink"/>
          </w:rPr>
          <w:t>-</w:t>
        </w:r>
      </w:hyperlink>
      <w:hyperlink r:id="rId64">
        <w:r w:rsidRPr="00963DB4">
          <w:rPr>
            <w:rStyle w:val="Hyperlink"/>
          </w:rPr>
          <w:t>of</w:t>
        </w:r>
      </w:hyperlink>
      <w:hyperlink r:id="rId65">
        <w:r w:rsidRPr="00963DB4">
          <w:rPr>
            <w:rStyle w:val="Hyperlink"/>
          </w:rPr>
          <w:t>-</w:t>
        </w:r>
      </w:hyperlink>
      <w:hyperlink r:id="rId66">
        <w:r w:rsidRPr="00963DB4">
          <w:rPr>
            <w:rStyle w:val="Hyperlink"/>
          </w:rPr>
          <w:t>continuing</w:t>
        </w:r>
      </w:hyperlink>
      <w:hyperlink r:id="rId67">
        <w:r w:rsidRPr="00963DB4">
          <w:rPr>
            <w:rStyle w:val="Hyperlink"/>
          </w:rPr>
          <w:t>-</w:t>
        </w:r>
      </w:hyperlink>
      <w:hyperlink r:id="rId68">
        <w:r w:rsidRPr="00963DB4">
          <w:rPr>
            <w:rStyle w:val="Hyperlink"/>
          </w:rPr>
          <w:t>professional</w:t>
        </w:r>
      </w:hyperlink>
      <w:hyperlink r:id="rId69">
        <w:r w:rsidRPr="00963DB4">
          <w:rPr>
            <w:rStyle w:val="Hyperlink"/>
          </w:rPr>
          <w:t>-</w:t>
        </w:r>
      </w:hyperlink>
      <w:hyperlink r:id="rId70">
        <w:r w:rsidRPr="00963DB4">
          <w:rPr>
            <w:rStyle w:val="Hyperlink"/>
          </w:rPr>
          <w:t>development/</w:t>
        </w:r>
      </w:hyperlink>
      <w:hyperlink r:id="rId71">
        <w:r w:rsidRPr="00963DB4">
          <w:rPr>
            <w:rStyle w:val="Hyperlink"/>
          </w:rPr>
          <w:t xml:space="preserve"> </w:t>
        </w:r>
      </w:hyperlink>
    </w:p>
    <w:p w14:paraId="45B8FA4B" w14:textId="77777777" w:rsidR="00C045B3" w:rsidRDefault="00C045B3" w:rsidP="00C045B3">
      <w:pPr>
        <w:spacing w:after="36"/>
      </w:pPr>
      <w:r>
        <w:t xml:space="preserve"> </w:t>
      </w:r>
    </w:p>
    <w:p w14:paraId="6466E869" w14:textId="294C1AA7" w:rsidR="00C045B3" w:rsidRDefault="00C045B3" w:rsidP="00C045B3">
      <w:pPr>
        <w:spacing w:after="32"/>
        <w:ind w:left="-5" w:right="5"/>
      </w:pPr>
      <w:r>
        <w:t xml:space="preserve">IASLT (2012). Standards of practice for speech and language therapists on the management of feeding, eating, drinking and swallowing disorders (dysphagia). </w:t>
      </w:r>
    </w:p>
    <w:p w14:paraId="5AEEE3D4" w14:textId="77777777" w:rsidR="00C045B3" w:rsidRDefault="00C045B3" w:rsidP="00C045B3">
      <w:pPr>
        <w:spacing w:after="36"/>
      </w:pPr>
      <w:r>
        <w:t xml:space="preserve"> </w:t>
      </w:r>
    </w:p>
    <w:p w14:paraId="19A71422" w14:textId="46D0EC73" w:rsidR="00C045B3" w:rsidRDefault="00C045B3" w:rsidP="00C045B3">
      <w:pPr>
        <w:spacing w:after="10"/>
        <w:ind w:left="-5" w:right="5"/>
      </w:pPr>
      <w:r>
        <w:t>RCSLT (20</w:t>
      </w:r>
      <w:r w:rsidR="0018660B">
        <w:t>25</w:t>
      </w:r>
      <w:r>
        <w:t xml:space="preserve">). </w:t>
      </w:r>
      <w:r w:rsidR="0018660B">
        <w:t>SLT EDS competency framework</w:t>
      </w:r>
      <w:r>
        <w:t xml:space="preserve">. [Online]. Available at: </w:t>
      </w:r>
      <w:hyperlink r:id="rId72" w:history="1">
        <w:r w:rsidR="0018660B" w:rsidRPr="00471C76">
          <w:rPr>
            <w:rStyle w:val="Hyperlink"/>
          </w:rPr>
          <w:t>https://www.rcslt.org/wp-content/uploads/2025/04/SLT-eating-drinking-and-swallowing_competency-framework_March25.docx</w:t>
        </w:r>
      </w:hyperlink>
    </w:p>
    <w:p w14:paraId="39BC2735" w14:textId="77777777" w:rsidR="00C045B3" w:rsidRDefault="00C045B3" w:rsidP="00C045B3">
      <w:pPr>
        <w:spacing w:after="20"/>
      </w:pPr>
      <w:r>
        <w:t xml:space="preserve"> </w:t>
      </w:r>
    </w:p>
    <w:p w14:paraId="0238E158" w14:textId="099F0708" w:rsidR="00C045B3" w:rsidRDefault="00C045B3" w:rsidP="00C045B3">
      <w:pPr>
        <w:spacing w:after="9"/>
        <w:ind w:left="-5"/>
      </w:pPr>
      <w:r>
        <w:t xml:space="preserve">RCSLT (2018). NQP goals. [Online]. Available at: </w:t>
      </w:r>
      <w:hyperlink r:id="rId73">
        <w:r>
          <w:rPr>
            <w:rStyle w:val="Hyperlink"/>
          </w:rPr>
          <w:t>https://www.rcslt.org/members/lifelong-learning/using-your-cpd-diary/</w:t>
        </w:r>
      </w:hyperlink>
      <w:r w:rsidR="00FB36FA" w:rsidRPr="00FB36FA">
        <w:rPr>
          <w:rStyle w:val="Hyperlink"/>
        </w:rPr>
        <w:t xml:space="preserve"> </w:t>
      </w:r>
    </w:p>
    <w:p w14:paraId="5B298C36" w14:textId="77777777" w:rsidR="00C045B3" w:rsidRDefault="00C045B3" w:rsidP="00C045B3">
      <w:pPr>
        <w:spacing w:after="38"/>
      </w:pPr>
      <w:r>
        <w:rPr>
          <w:sz w:val="22"/>
        </w:rPr>
        <w:t xml:space="preserve"> </w:t>
      </w:r>
    </w:p>
    <w:p w14:paraId="45C218E8" w14:textId="3809AFAD" w:rsidR="00C045B3" w:rsidRDefault="00C045B3" w:rsidP="00B60368">
      <w:pPr>
        <w:spacing w:after="13"/>
        <w:ind w:left="-5" w:right="5"/>
      </w:pPr>
      <w:r>
        <w:t>RCSLT (202</w:t>
      </w:r>
      <w:r w:rsidR="00B60368">
        <w:t>5</w:t>
      </w:r>
      <w:r>
        <w:t>). Practice-based learning guidance. [Online]</w:t>
      </w:r>
      <w:r w:rsidR="00DD1B86">
        <w:t xml:space="preserve">. Available at: </w:t>
      </w:r>
      <w:hyperlink r:id="rId74" w:history="1">
        <w:r w:rsidR="00DD1B86" w:rsidRPr="006C4E68">
          <w:rPr>
            <w:rStyle w:val="Hyperlink"/>
          </w:rPr>
          <w:t>https://www.rcslt.org/learning/information-for-education-providers/practice-based-learning/practice-based-learning-guidance/</w:t>
        </w:r>
      </w:hyperlink>
      <w:r w:rsidR="00DD1B86">
        <w:t xml:space="preserve"> </w:t>
      </w:r>
    </w:p>
    <w:p w14:paraId="42424F60" w14:textId="77777777" w:rsidR="00C045B3" w:rsidRDefault="00C045B3" w:rsidP="00C045B3">
      <w:pPr>
        <w:spacing w:after="22"/>
      </w:pPr>
      <w:r>
        <w:t xml:space="preserve"> </w:t>
      </w:r>
    </w:p>
    <w:p w14:paraId="04EC0094" w14:textId="66F4B6E4" w:rsidR="00C045B3" w:rsidRDefault="00C045B3" w:rsidP="00C045B3">
      <w:pPr>
        <w:spacing w:after="11"/>
        <w:ind w:left="-5" w:right="5"/>
      </w:pPr>
      <w:r>
        <w:t>RCSLT (202</w:t>
      </w:r>
      <w:r w:rsidR="009A34E6">
        <w:t>5</w:t>
      </w:r>
      <w:r>
        <w:t xml:space="preserve">). Curriculum guidance. </w:t>
      </w:r>
      <w:r w:rsidR="006975EA">
        <w:t xml:space="preserve">[Online]. Available at: </w:t>
      </w:r>
      <w:hyperlink r:id="rId75" w:history="1">
        <w:r w:rsidR="006975EA" w:rsidRPr="006C4E68">
          <w:rPr>
            <w:rStyle w:val="Hyperlink"/>
          </w:rPr>
          <w:t>https://www.rcslt.org/wp-content/uploads/2025/10/RCSLT-Curriculum-Guidance-October-2025-1.pdf</w:t>
        </w:r>
      </w:hyperlink>
      <w:r w:rsidR="006975EA">
        <w:t xml:space="preserve"> </w:t>
      </w:r>
    </w:p>
    <w:p w14:paraId="6CDED40D" w14:textId="77777777" w:rsidR="00C045B3" w:rsidRDefault="00C045B3" w:rsidP="00C045B3">
      <w:pPr>
        <w:spacing w:after="80"/>
      </w:pPr>
      <w:r>
        <w:t xml:space="preserve"> </w:t>
      </w:r>
    </w:p>
    <w:p w14:paraId="3B79EFF5" w14:textId="77777777" w:rsidR="00C045B3" w:rsidRDefault="00C045B3" w:rsidP="00C045B3">
      <w:pPr>
        <w:spacing w:after="0"/>
        <w:ind w:left="-5" w:right="5"/>
      </w:pPr>
      <w:r>
        <w:t xml:space="preserve">RCSLT, IASLT, ASHA, SAC, SPA, NZSTA (2018). Mutual recognition agreement. [Online]. </w:t>
      </w:r>
    </w:p>
    <w:p w14:paraId="4FF75FCC" w14:textId="77777777" w:rsidR="00C045B3" w:rsidRDefault="00C045B3" w:rsidP="00C045B3">
      <w:pPr>
        <w:spacing w:after="9"/>
        <w:ind w:left="-5"/>
      </w:pPr>
      <w:r>
        <w:t xml:space="preserve">Available at: </w:t>
      </w:r>
      <w:hyperlink r:id="rId76">
        <w:r>
          <w:rPr>
            <w:color w:val="0000FF"/>
            <w:u w:val="single" w:color="0000FF"/>
          </w:rPr>
          <w:t>https://www.rcslt.org/members/your</w:t>
        </w:r>
      </w:hyperlink>
      <w:hyperlink r:id="rId77">
        <w:r>
          <w:rPr>
            <w:color w:val="0000FF"/>
            <w:u w:val="single" w:color="0000FF"/>
          </w:rPr>
          <w:t>-</w:t>
        </w:r>
      </w:hyperlink>
      <w:hyperlink r:id="rId78">
        <w:r>
          <w:rPr>
            <w:color w:val="0000FF"/>
            <w:u w:val="single" w:color="0000FF"/>
          </w:rPr>
          <w:t>career/overseas</w:t>
        </w:r>
      </w:hyperlink>
      <w:hyperlink r:id="rId79">
        <w:r>
          <w:rPr>
            <w:color w:val="0000FF"/>
            <w:u w:val="single" w:color="0000FF"/>
          </w:rPr>
          <w:t>-</w:t>
        </w:r>
      </w:hyperlink>
      <w:hyperlink r:id="rId80">
        <w:r>
          <w:rPr>
            <w:color w:val="0000FF"/>
            <w:u w:val="single" w:color="0000FF"/>
          </w:rPr>
          <w:t>and</w:t>
        </w:r>
      </w:hyperlink>
      <w:hyperlink r:id="rId81">
        <w:r>
          <w:rPr>
            <w:color w:val="0000FF"/>
            <w:u w:val="single" w:color="0000FF"/>
          </w:rPr>
          <w:t>-</w:t>
        </w:r>
      </w:hyperlink>
      <w:hyperlink r:id="rId82">
        <w:r>
          <w:rPr>
            <w:color w:val="0000FF"/>
            <w:u w:val="single" w:color="0000FF"/>
          </w:rPr>
          <w:t>international/</w:t>
        </w:r>
      </w:hyperlink>
      <w:hyperlink r:id="rId83">
        <w:r>
          <w:t xml:space="preserve"> </w:t>
        </w:r>
      </w:hyperlink>
      <w:r>
        <w:t xml:space="preserve"> </w:t>
      </w:r>
    </w:p>
    <w:p w14:paraId="6022EE1F" w14:textId="77777777" w:rsidR="00C045B3" w:rsidRDefault="00C045B3" w:rsidP="00C045B3">
      <w:pPr>
        <w:spacing w:after="39"/>
      </w:pPr>
      <w:r>
        <w:t xml:space="preserve"> </w:t>
      </w:r>
    </w:p>
    <w:p w14:paraId="3716135F" w14:textId="77777777" w:rsidR="00C045B3" w:rsidRDefault="00C045B3" w:rsidP="00C045B3">
      <w:pPr>
        <w:spacing w:after="6"/>
        <w:ind w:left="-5" w:right="5"/>
      </w:pPr>
      <w:r>
        <w:lastRenderedPageBreak/>
        <w:t>University of Ulster (2020). Dysphagia curriculum guidance.</w:t>
      </w:r>
      <w:r>
        <w:rPr>
          <w:sz w:val="22"/>
        </w:rPr>
        <w:t xml:space="preserve">  </w:t>
      </w:r>
    </w:p>
    <w:p w14:paraId="64F203DE" w14:textId="77777777" w:rsidR="00C045B3" w:rsidRDefault="00C045B3" w:rsidP="00C045B3">
      <w:pPr>
        <w:spacing w:after="59"/>
      </w:pPr>
      <w:r>
        <w:rPr>
          <w:sz w:val="22"/>
        </w:rPr>
        <w:t xml:space="preserve"> </w:t>
      </w:r>
    </w:p>
    <w:p w14:paraId="338B4C1E" w14:textId="77777777" w:rsidR="00C045B3" w:rsidRDefault="00C045B3" w:rsidP="00C045B3">
      <w:pPr>
        <w:ind w:left="-5" w:right="5"/>
      </w:pPr>
      <w:r>
        <w:t>Yeager, K. A., &amp; Bauer-Wu, S. (2013). Cultural humility: Essential foundation for clinical researchers. Applied Nursing Research, 26(4), 251-256.</w:t>
      </w:r>
      <w:r>
        <w:rPr>
          <w:b/>
          <w:sz w:val="36"/>
        </w:rPr>
        <w:t xml:space="preserve"> </w:t>
      </w:r>
      <w:r>
        <w:rPr>
          <w:b/>
          <w:sz w:val="36"/>
        </w:rPr>
        <w:tab/>
      </w:r>
      <w:r>
        <w:t xml:space="preserve"> </w:t>
      </w:r>
    </w:p>
    <w:p w14:paraId="78F82C05" w14:textId="77777777" w:rsidR="00F62526" w:rsidRDefault="00F62526" w:rsidP="00F62526">
      <w:pPr>
        <w:pStyle w:val="BodyText"/>
        <w:spacing w:before="88" w:line="316" w:lineRule="auto"/>
        <w:ind w:right="2030"/>
        <w:rPr>
          <w:color w:val="231F20"/>
        </w:rPr>
      </w:pPr>
    </w:p>
    <w:p w14:paraId="5A0E3C67" w14:textId="77777777" w:rsidR="00967C45" w:rsidRDefault="00967C45">
      <w:pPr>
        <w:rPr>
          <w:rFonts w:ascii="Open Sans Bold" w:eastAsia="Open Sans" w:hAnsi="Open Sans Bold"/>
          <w:bCs/>
          <w:color w:val="102036"/>
          <w:sz w:val="56"/>
          <w:szCs w:val="56"/>
        </w:rPr>
      </w:pPr>
      <w:bookmarkStart w:id="59" w:name="_Toc60030"/>
      <w:r>
        <w:br w:type="page"/>
      </w:r>
    </w:p>
    <w:p w14:paraId="29CFC846" w14:textId="4E9F39F6" w:rsidR="00967C45" w:rsidRDefault="00967C45" w:rsidP="00250BF0">
      <w:pPr>
        <w:pStyle w:val="Heading1"/>
      </w:pPr>
      <w:bookmarkStart w:id="60" w:name="_Toc203664691"/>
      <w:bookmarkStart w:id="61" w:name="_Toc207803410"/>
      <w:r>
        <w:lastRenderedPageBreak/>
        <w:t>Appendix 1: Sources consulted during the development of the EDS guidance</w:t>
      </w:r>
      <w:bookmarkEnd w:id="60"/>
      <w:bookmarkEnd w:id="61"/>
      <w:r>
        <w:t xml:space="preserve"> </w:t>
      </w:r>
      <w:bookmarkEnd w:id="59"/>
    </w:p>
    <w:tbl>
      <w:tblPr>
        <w:tblStyle w:val="TableGrid"/>
        <w:tblW w:w="9224" w:type="dxa"/>
        <w:tblInd w:w="-99" w:type="dxa"/>
        <w:tblCellMar>
          <w:left w:w="99" w:type="dxa"/>
          <w:right w:w="115" w:type="dxa"/>
        </w:tblCellMar>
        <w:tblLook w:val="04A0" w:firstRow="1" w:lastRow="0" w:firstColumn="1" w:lastColumn="0" w:noHBand="0" w:noVBand="1"/>
      </w:tblPr>
      <w:tblGrid>
        <w:gridCol w:w="9224"/>
      </w:tblGrid>
      <w:tr w:rsidR="00967C45" w:rsidRPr="00652803" w14:paraId="57C9FF78" w14:textId="77777777" w:rsidTr="0042547E">
        <w:trPr>
          <w:trHeight w:val="479"/>
        </w:trPr>
        <w:tc>
          <w:tcPr>
            <w:tcW w:w="9224" w:type="dxa"/>
            <w:tcBorders>
              <w:top w:val="single" w:sz="7" w:space="0" w:color="000000"/>
              <w:left w:val="single" w:sz="7" w:space="0" w:color="000000"/>
              <w:bottom w:val="single" w:sz="34" w:space="0" w:color="C6D9F1"/>
              <w:right w:val="single" w:sz="7" w:space="0" w:color="000000"/>
            </w:tcBorders>
            <w:shd w:val="clear" w:color="auto" w:fill="8DB3E2"/>
            <w:vAlign w:val="center"/>
          </w:tcPr>
          <w:p w14:paraId="2342E14D" w14:textId="77777777" w:rsidR="00967C45" w:rsidRPr="00652803" w:rsidRDefault="00967C45" w:rsidP="004C1699">
            <w:pPr>
              <w:spacing w:line="259" w:lineRule="auto"/>
              <w:rPr>
                <w:szCs w:val="16"/>
              </w:rPr>
            </w:pPr>
            <w:r w:rsidRPr="00652803">
              <w:rPr>
                <w:b/>
                <w:szCs w:val="16"/>
              </w:rPr>
              <w:t xml:space="preserve">Description of source (in alphabetical order) </w:t>
            </w:r>
          </w:p>
        </w:tc>
      </w:tr>
      <w:tr w:rsidR="00967C45" w:rsidRPr="00652803" w14:paraId="588BCED7" w14:textId="77777777" w:rsidTr="0042547E">
        <w:trPr>
          <w:trHeight w:val="475"/>
        </w:trPr>
        <w:tc>
          <w:tcPr>
            <w:tcW w:w="9224" w:type="dxa"/>
            <w:tcBorders>
              <w:top w:val="single" w:sz="34" w:space="0" w:color="C6D9F1"/>
              <w:left w:val="single" w:sz="7" w:space="0" w:color="000000"/>
              <w:bottom w:val="single" w:sz="7" w:space="0" w:color="000000"/>
              <w:right w:val="single" w:sz="7" w:space="0" w:color="000000"/>
            </w:tcBorders>
            <w:shd w:val="clear" w:color="auto" w:fill="C6D9F1"/>
            <w:vAlign w:val="center"/>
          </w:tcPr>
          <w:p w14:paraId="7B5A76C8" w14:textId="77777777" w:rsidR="00967C45" w:rsidRPr="00652803" w:rsidRDefault="00967C45" w:rsidP="004C1699">
            <w:pPr>
              <w:spacing w:line="259" w:lineRule="auto"/>
              <w:rPr>
                <w:szCs w:val="16"/>
              </w:rPr>
            </w:pPr>
            <w:r w:rsidRPr="00652803">
              <w:rPr>
                <w:b/>
                <w:szCs w:val="16"/>
              </w:rPr>
              <w:t>Other professional bodies</w:t>
            </w:r>
            <w:r w:rsidRPr="00652803">
              <w:rPr>
                <w:szCs w:val="16"/>
              </w:rPr>
              <w:t xml:space="preserve"> </w:t>
            </w:r>
          </w:p>
        </w:tc>
      </w:tr>
      <w:tr w:rsidR="00967C45" w:rsidRPr="00652803" w14:paraId="1BF6694F" w14:textId="77777777" w:rsidTr="0042547E">
        <w:trPr>
          <w:trHeight w:val="549"/>
        </w:trPr>
        <w:tc>
          <w:tcPr>
            <w:tcW w:w="9224" w:type="dxa"/>
            <w:tcBorders>
              <w:top w:val="single" w:sz="7" w:space="0" w:color="000000"/>
              <w:left w:val="single" w:sz="7" w:space="0" w:color="000000"/>
              <w:bottom w:val="single" w:sz="7" w:space="0" w:color="000000"/>
              <w:right w:val="single" w:sz="7" w:space="0" w:color="000000"/>
            </w:tcBorders>
            <w:vAlign w:val="center"/>
          </w:tcPr>
          <w:p w14:paraId="068AF56F" w14:textId="77777777" w:rsidR="00967C45" w:rsidRPr="00652803" w:rsidRDefault="00967C45" w:rsidP="004C1699">
            <w:pPr>
              <w:spacing w:line="259" w:lineRule="auto"/>
              <w:rPr>
                <w:szCs w:val="16"/>
              </w:rPr>
            </w:pPr>
            <w:r w:rsidRPr="00652803">
              <w:rPr>
                <w:szCs w:val="16"/>
              </w:rPr>
              <w:t xml:space="preserve">American Speech-Language-Hearing Association (ASHA) </w:t>
            </w:r>
          </w:p>
        </w:tc>
      </w:tr>
      <w:tr w:rsidR="00967C45" w:rsidRPr="00652803" w14:paraId="523737D3" w14:textId="77777777" w:rsidTr="0042547E">
        <w:trPr>
          <w:trHeight w:val="509"/>
        </w:trPr>
        <w:tc>
          <w:tcPr>
            <w:tcW w:w="9224" w:type="dxa"/>
            <w:tcBorders>
              <w:top w:val="single" w:sz="7" w:space="0" w:color="000000"/>
              <w:left w:val="single" w:sz="7" w:space="0" w:color="000000"/>
              <w:bottom w:val="single" w:sz="7" w:space="0" w:color="000000"/>
              <w:right w:val="single" w:sz="7" w:space="0" w:color="000000"/>
            </w:tcBorders>
            <w:vAlign w:val="center"/>
          </w:tcPr>
          <w:p w14:paraId="5732C833" w14:textId="77777777" w:rsidR="00967C45" w:rsidRPr="00652803" w:rsidRDefault="00967C45" w:rsidP="004C1699">
            <w:pPr>
              <w:spacing w:line="259" w:lineRule="auto"/>
              <w:rPr>
                <w:szCs w:val="16"/>
              </w:rPr>
            </w:pPr>
            <w:r w:rsidRPr="00652803">
              <w:rPr>
                <w:szCs w:val="16"/>
              </w:rPr>
              <w:t xml:space="preserve">Irish Association of Speech and Language Therapists (IASLT) </w:t>
            </w:r>
          </w:p>
        </w:tc>
      </w:tr>
      <w:tr w:rsidR="00967C45" w:rsidRPr="00652803" w14:paraId="6EAD7333" w14:textId="77777777" w:rsidTr="0042547E">
        <w:trPr>
          <w:trHeight w:val="509"/>
        </w:trPr>
        <w:tc>
          <w:tcPr>
            <w:tcW w:w="9224" w:type="dxa"/>
            <w:tcBorders>
              <w:top w:val="single" w:sz="7" w:space="0" w:color="000000"/>
              <w:left w:val="single" w:sz="7" w:space="0" w:color="000000"/>
              <w:bottom w:val="single" w:sz="7" w:space="0" w:color="000000"/>
              <w:right w:val="single" w:sz="7" w:space="0" w:color="000000"/>
            </w:tcBorders>
            <w:vAlign w:val="center"/>
          </w:tcPr>
          <w:p w14:paraId="2B6577B0" w14:textId="77777777" w:rsidR="00967C45" w:rsidRPr="00652803" w:rsidRDefault="00967C45" w:rsidP="004C1699">
            <w:pPr>
              <w:spacing w:line="259" w:lineRule="auto"/>
              <w:rPr>
                <w:szCs w:val="16"/>
              </w:rPr>
            </w:pPr>
            <w:r w:rsidRPr="00652803">
              <w:rPr>
                <w:szCs w:val="16"/>
              </w:rPr>
              <w:t xml:space="preserve">New Zealand Speech-language Therapists’ Association (NZSTA) </w:t>
            </w:r>
          </w:p>
        </w:tc>
      </w:tr>
      <w:tr w:rsidR="00967C45" w:rsidRPr="00652803" w14:paraId="42EE787E" w14:textId="77777777" w:rsidTr="0042547E">
        <w:trPr>
          <w:trHeight w:val="509"/>
        </w:trPr>
        <w:tc>
          <w:tcPr>
            <w:tcW w:w="9224" w:type="dxa"/>
            <w:tcBorders>
              <w:top w:val="single" w:sz="7" w:space="0" w:color="000000"/>
              <w:left w:val="single" w:sz="7" w:space="0" w:color="000000"/>
              <w:bottom w:val="single" w:sz="7" w:space="0" w:color="000000"/>
              <w:right w:val="single" w:sz="7" w:space="0" w:color="000000"/>
            </w:tcBorders>
            <w:vAlign w:val="center"/>
          </w:tcPr>
          <w:p w14:paraId="0F296AAF" w14:textId="77777777" w:rsidR="00967C45" w:rsidRPr="00652803" w:rsidRDefault="00967C45" w:rsidP="004C1699">
            <w:pPr>
              <w:spacing w:line="259" w:lineRule="auto"/>
              <w:rPr>
                <w:szCs w:val="16"/>
              </w:rPr>
            </w:pPr>
            <w:r w:rsidRPr="00652803">
              <w:rPr>
                <w:szCs w:val="16"/>
              </w:rPr>
              <w:t xml:space="preserve">Speech-Language and Audiology Canada (SAC) </w:t>
            </w:r>
          </w:p>
        </w:tc>
      </w:tr>
      <w:tr w:rsidR="00967C45" w:rsidRPr="00652803" w14:paraId="4D61754E" w14:textId="77777777" w:rsidTr="0042547E">
        <w:trPr>
          <w:trHeight w:val="550"/>
        </w:trPr>
        <w:tc>
          <w:tcPr>
            <w:tcW w:w="9224" w:type="dxa"/>
            <w:tcBorders>
              <w:top w:val="single" w:sz="7" w:space="0" w:color="000000"/>
              <w:left w:val="single" w:sz="7" w:space="0" w:color="000000"/>
              <w:bottom w:val="single" w:sz="40" w:space="0" w:color="C6D9F1"/>
              <w:right w:val="single" w:sz="7" w:space="0" w:color="000000"/>
            </w:tcBorders>
            <w:vAlign w:val="center"/>
          </w:tcPr>
          <w:p w14:paraId="51914719" w14:textId="77777777" w:rsidR="00967C45" w:rsidRPr="00652803" w:rsidRDefault="00967C45" w:rsidP="004C1699">
            <w:pPr>
              <w:spacing w:line="259" w:lineRule="auto"/>
              <w:rPr>
                <w:szCs w:val="16"/>
              </w:rPr>
            </w:pPr>
            <w:r w:rsidRPr="00652803">
              <w:rPr>
                <w:szCs w:val="16"/>
              </w:rPr>
              <w:t xml:space="preserve">Speech Pathology Australia (SPA) </w:t>
            </w:r>
          </w:p>
        </w:tc>
      </w:tr>
      <w:tr w:rsidR="00967C45" w:rsidRPr="00652803" w14:paraId="16F533CF" w14:textId="77777777" w:rsidTr="0042547E">
        <w:trPr>
          <w:trHeight w:val="447"/>
        </w:trPr>
        <w:tc>
          <w:tcPr>
            <w:tcW w:w="9224" w:type="dxa"/>
            <w:tcBorders>
              <w:top w:val="single" w:sz="40" w:space="0" w:color="C6D9F1"/>
              <w:left w:val="single" w:sz="7" w:space="0" w:color="000000"/>
              <w:bottom w:val="single" w:sz="7" w:space="0" w:color="000000"/>
              <w:right w:val="single" w:sz="7" w:space="0" w:color="000000"/>
            </w:tcBorders>
            <w:shd w:val="clear" w:color="auto" w:fill="C6D9F1"/>
            <w:vAlign w:val="center"/>
          </w:tcPr>
          <w:p w14:paraId="2EDE0867" w14:textId="77777777" w:rsidR="00967C45" w:rsidRPr="00652803" w:rsidRDefault="00967C45" w:rsidP="004C1699">
            <w:pPr>
              <w:spacing w:line="259" w:lineRule="auto"/>
              <w:rPr>
                <w:szCs w:val="16"/>
              </w:rPr>
            </w:pPr>
            <w:r w:rsidRPr="00652803">
              <w:rPr>
                <w:b/>
                <w:szCs w:val="16"/>
              </w:rPr>
              <w:t xml:space="preserve">Other sources </w:t>
            </w:r>
          </w:p>
        </w:tc>
      </w:tr>
      <w:tr w:rsidR="00967C45" w:rsidRPr="00652803" w14:paraId="114E03FB" w14:textId="77777777" w:rsidTr="0042547E">
        <w:trPr>
          <w:trHeight w:val="549"/>
        </w:trPr>
        <w:tc>
          <w:tcPr>
            <w:tcW w:w="9224" w:type="dxa"/>
            <w:tcBorders>
              <w:top w:val="single" w:sz="7" w:space="0" w:color="000000"/>
              <w:left w:val="single" w:sz="7" w:space="0" w:color="000000"/>
              <w:bottom w:val="single" w:sz="7" w:space="0" w:color="000000"/>
              <w:right w:val="single" w:sz="7" w:space="0" w:color="000000"/>
            </w:tcBorders>
            <w:vAlign w:val="center"/>
          </w:tcPr>
          <w:p w14:paraId="57D13E40" w14:textId="77777777" w:rsidR="00967C45" w:rsidRPr="00652803" w:rsidRDefault="00967C45" w:rsidP="004C1699">
            <w:pPr>
              <w:spacing w:line="259" w:lineRule="auto"/>
              <w:rPr>
                <w:szCs w:val="16"/>
              </w:rPr>
            </w:pPr>
            <w:r w:rsidRPr="00652803">
              <w:rPr>
                <w:szCs w:val="16"/>
              </w:rPr>
              <w:t xml:space="preserve">All Wales speech and language therapy dysphagia training and competency programme (2019) </w:t>
            </w:r>
          </w:p>
        </w:tc>
      </w:tr>
      <w:tr w:rsidR="00967C45" w:rsidRPr="00652803" w14:paraId="5FEFAE20" w14:textId="77777777" w:rsidTr="0042547E">
        <w:trPr>
          <w:trHeight w:val="818"/>
        </w:trPr>
        <w:tc>
          <w:tcPr>
            <w:tcW w:w="9224" w:type="dxa"/>
            <w:tcBorders>
              <w:top w:val="single" w:sz="7" w:space="0" w:color="000000"/>
              <w:left w:val="single" w:sz="7" w:space="0" w:color="000000"/>
              <w:bottom w:val="single" w:sz="7" w:space="0" w:color="000000"/>
              <w:right w:val="single" w:sz="7" w:space="0" w:color="000000"/>
            </w:tcBorders>
            <w:vAlign w:val="center"/>
          </w:tcPr>
          <w:p w14:paraId="78FB68C8" w14:textId="77777777" w:rsidR="00967C45" w:rsidRPr="00652803" w:rsidRDefault="00967C45" w:rsidP="004C1699">
            <w:pPr>
              <w:spacing w:line="259" w:lineRule="auto"/>
              <w:rPr>
                <w:szCs w:val="16"/>
              </w:rPr>
            </w:pPr>
            <w:r w:rsidRPr="00652803">
              <w:rPr>
                <w:szCs w:val="16"/>
              </w:rPr>
              <w:t xml:space="preserve">IASLT standards of practice for speech and language therapists on the management of feeding, eating, drinking and swallowing disorders (dysphagia) (2012) </w:t>
            </w:r>
          </w:p>
        </w:tc>
      </w:tr>
      <w:tr w:rsidR="00967C45" w:rsidRPr="00652803" w14:paraId="29D8DCD1" w14:textId="77777777" w:rsidTr="0042547E">
        <w:trPr>
          <w:trHeight w:val="819"/>
        </w:trPr>
        <w:tc>
          <w:tcPr>
            <w:tcW w:w="9224" w:type="dxa"/>
            <w:tcBorders>
              <w:top w:val="single" w:sz="7" w:space="0" w:color="000000"/>
              <w:left w:val="single" w:sz="7" w:space="0" w:color="000000"/>
              <w:bottom w:val="single" w:sz="7" w:space="0" w:color="000000"/>
              <w:right w:val="single" w:sz="7" w:space="0" w:color="000000"/>
            </w:tcBorders>
            <w:vAlign w:val="center"/>
          </w:tcPr>
          <w:p w14:paraId="08F7EA01" w14:textId="77777777" w:rsidR="00967C45" w:rsidRPr="00652803" w:rsidRDefault="00967C45" w:rsidP="004C1699">
            <w:pPr>
              <w:spacing w:line="259" w:lineRule="auto"/>
              <w:rPr>
                <w:szCs w:val="16"/>
              </w:rPr>
            </w:pPr>
            <w:r w:rsidRPr="00652803">
              <w:rPr>
                <w:szCs w:val="16"/>
              </w:rPr>
              <w:t xml:space="preserve">IASLT the management of feeding, eating, drinking and swallowing disorders/dysphagia – outline of pre-entry clinical education 2010-2014 (2010) </w:t>
            </w:r>
          </w:p>
        </w:tc>
      </w:tr>
      <w:tr w:rsidR="00967C45" w:rsidRPr="00652803" w14:paraId="1D634443" w14:textId="77777777" w:rsidTr="0042547E">
        <w:trPr>
          <w:trHeight w:val="509"/>
        </w:trPr>
        <w:tc>
          <w:tcPr>
            <w:tcW w:w="9224" w:type="dxa"/>
            <w:tcBorders>
              <w:top w:val="single" w:sz="7" w:space="0" w:color="000000"/>
              <w:left w:val="single" w:sz="7" w:space="0" w:color="000000"/>
              <w:bottom w:val="single" w:sz="7" w:space="0" w:color="000000"/>
              <w:right w:val="single" w:sz="7" w:space="0" w:color="000000"/>
            </w:tcBorders>
            <w:vAlign w:val="center"/>
          </w:tcPr>
          <w:p w14:paraId="7F9BF718" w14:textId="77777777" w:rsidR="00967C45" w:rsidRPr="00652803" w:rsidRDefault="00967C45" w:rsidP="004C1699">
            <w:pPr>
              <w:spacing w:line="259" w:lineRule="auto"/>
              <w:rPr>
                <w:szCs w:val="16"/>
              </w:rPr>
            </w:pPr>
            <w:r w:rsidRPr="00652803">
              <w:rPr>
                <w:szCs w:val="16"/>
              </w:rPr>
              <w:t xml:space="preserve">RCSLT dysphagia training and competency framework (2014) </w:t>
            </w:r>
          </w:p>
        </w:tc>
      </w:tr>
      <w:tr w:rsidR="00967C45" w:rsidRPr="00652803" w14:paraId="6F5E3A05" w14:textId="77777777" w:rsidTr="0042547E">
        <w:trPr>
          <w:trHeight w:val="509"/>
        </w:trPr>
        <w:tc>
          <w:tcPr>
            <w:tcW w:w="9224" w:type="dxa"/>
            <w:tcBorders>
              <w:top w:val="single" w:sz="7" w:space="0" w:color="000000"/>
              <w:left w:val="single" w:sz="7" w:space="0" w:color="000000"/>
              <w:bottom w:val="single" w:sz="7" w:space="0" w:color="000000"/>
              <w:right w:val="single" w:sz="7" w:space="0" w:color="000000"/>
            </w:tcBorders>
            <w:vAlign w:val="center"/>
          </w:tcPr>
          <w:p w14:paraId="043E9170" w14:textId="77777777" w:rsidR="00967C45" w:rsidRPr="00652803" w:rsidRDefault="00967C45" w:rsidP="004C1699">
            <w:pPr>
              <w:spacing w:line="259" w:lineRule="auto"/>
              <w:rPr>
                <w:szCs w:val="16"/>
              </w:rPr>
            </w:pPr>
            <w:r w:rsidRPr="00652803">
              <w:rPr>
                <w:szCs w:val="16"/>
              </w:rPr>
              <w:t xml:space="preserve">University of Ulster dysphagia curriculum guidance (2020) </w:t>
            </w:r>
          </w:p>
        </w:tc>
      </w:tr>
    </w:tbl>
    <w:p w14:paraId="0CE4C4D6" w14:textId="77777777" w:rsidR="00967C45" w:rsidRDefault="00967C45" w:rsidP="00967C45">
      <w:pPr>
        <w:spacing w:after="16"/>
      </w:pPr>
      <w:r>
        <w:rPr>
          <w:sz w:val="22"/>
        </w:rPr>
        <w:t xml:space="preserve"> </w:t>
      </w:r>
    </w:p>
    <w:p w14:paraId="3F5FF253" w14:textId="77777777" w:rsidR="00967C45" w:rsidRDefault="00967C45" w:rsidP="00967C45">
      <w:pPr>
        <w:spacing w:after="19"/>
      </w:pPr>
      <w:r>
        <w:rPr>
          <w:sz w:val="22"/>
        </w:rPr>
        <w:t xml:space="preserve"> </w:t>
      </w:r>
    </w:p>
    <w:p w14:paraId="5EE036E9" w14:textId="77777777" w:rsidR="00967C45" w:rsidRDefault="00967C45" w:rsidP="00967C45">
      <w:pPr>
        <w:spacing w:after="19"/>
      </w:pPr>
      <w:r>
        <w:rPr>
          <w:sz w:val="22"/>
        </w:rPr>
        <w:t xml:space="preserve"> </w:t>
      </w:r>
    </w:p>
    <w:p w14:paraId="5AA783E6" w14:textId="77777777" w:rsidR="00967C45" w:rsidRDefault="00967C45" w:rsidP="00967C45">
      <w:pPr>
        <w:spacing w:after="31"/>
      </w:pPr>
      <w:r>
        <w:rPr>
          <w:sz w:val="22"/>
        </w:rPr>
        <w:t xml:space="preserve"> </w:t>
      </w:r>
    </w:p>
    <w:p w14:paraId="5F92BB73" w14:textId="3C281C86" w:rsidR="00967C45" w:rsidRPr="006975EA" w:rsidRDefault="00967C45" w:rsidP="006975EA">
      <w:pPr>
        <w:spacing w:after="0"/>
      </w:pPr>
      <w:r>
        <w:rPr>
          <w:sz w:val="22"/>
        </w:rPr>
        <w:t xml:space="preserve"> </w:t>
      </w:r>
      <w:r>
        <w:rPr>
          <w:sz w:val="22"/>
        </w:rPr>
        <w:tab/>
        <w:t xml:space="preserve"> </w:t>
      </w:r>
      <w:bookmarkStart w:id="62" w:name="_Toc60031"/>
    </w:p>
    <w:p w14:paraId="1C26E779" w14:textId="66A19309" w:rsidR="00967C45" w:rsidRDefault="00967C45" w:rsidP="00250BF0">
      <w:pPr>
        <w:pStyle w:val="Heading1"/>
      </w:pPr>
      <w:bookmarkStart w:id="63" w:name="_Toc203664692"/>
      <w:bookmarkStart w:id="64" w:name="_Toc207803411"/>
      <w:r>
        <w:lastRenderedPageBreak/>
        <w:t>Appendix 2: EDS competencies profile evidence</w:t>
      </w:r>
      <w:bookmarkEnd w:id="63"/>
      <w:bookmarkEnd w:id="64"/>
      <w:r>
        <w:t xml:space="preserve"> </w:t>
      </w:r>
      <w:bookmarkEnd w:id="62"/>
    </w:p>
    <w:p w14:paraId="6EC32B3E" w14:textId="43DC499F" w:rsidR="00967C45" w:rsidRDefault="00967C45" w:rsidP="00967C45">
      <w:pPr>
        <w:spacing w:after="289"/>
        <w:ind w:left="-5" w:right="5"/>
      </w:pPr>
      <w:r>
        <w:t xml:space="preserve">To show the development of the competency profile, speech and language therapy learners take responsibility for ensuring that a relevant member of HEI staff or practice educator(s) signs and dates </w:t>
      </w:r>
      <w:r w:rsidR="27B44447">
        <w:t xml:space="preserve">their evidence of each competence. </w:t>
      </w:r>
      <w:r>
        <w:t xml:space="preserve">Signatories should be relevant HEI staff or speech and language practice educators (i.e. not from other disciplines). </w:t>
      </w:r>
      <w:hyperlink r:id="rId84" w:history="1">
        <w:r w:rsidR="0012148D">
          <w:rPr>
            <w:rStyle w:val="Hyperlink"/>
          </w:rPr>
          <w:t>Examples of EDS activities for each competency can be found here</w:t>
        </w:r>
      </w:hyperlink>
      <w:r w:rsidR="00AE2C74">
        <w:t>.</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EC6A32" w14:paraId="365761C9" w14:textId="77777777" w:rsidTr="007167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38A5FB10" w14:textId="21A4DD72" w:rsidR="00F05245" w:rsidRDefault="00F05245" w:rsidP="00716744">
            <w:pPr>
              <w:spacing w:after="288"/>
              <w:ind w:right="5"/>
            </w:pPr>
            <w:r>
              <w:t>EDS competenc</w:t>
            </w:r>
            <w:r w:rsidR="3588EB67">
              <w:t>e</w:t>
            </w:r>
            <w:r>
              <w:t xml:space="preserve">: speech and language therapy learner </w:t>
            </w:r>
            <w:proofErr w:type="gramStart"/>
            <w:r>
              <w:t>is able to</w:t>
            </w:r>
            <w:proofErr w:type="gramEnd"/>
          </w:p>
        </w:tc>
        <w:tc>
          <w:tcPr>
            <w:tcW w:w="3020" w:type="dxa"/>
            <w:vAlign w:val="center"/>
          </w:tcPr>
          <w:p w14:paraId="2167FED1" w14:textId="0664CF9F" w:rsidR="00F05245" w:rsidRDefault="5A9517BE" w:rsidP="003C06D7">
            <w:pPr>
              <w:spacing w:after="288"/>
              <w:ind w:right="5"/>
              <w:cnfStyle w:val="100000000000" w:firstRow="1" w:lastRow="0" w:firstColumn="0" w:lastColumn="0" w:oddVBand="0" w:evenVBand="0" w:oddHBand="0" w:evenHBand="0" w:firstRowFirstColumn="0" w:firstRowLastColumn="0" w:lastRowFirstColumn="0" w:lastRowLastColumn="0"/>
            </w:pPr>
            <w:r w:rsidRPr="6FE73CE5">
              <w:rPr>
                <w:color w:val="auto"/>
              </w:rPr>
              <w:t xml:space="preserve">Learner </w:t>
            </w:r>
            <w:r w:rsidR="7B8BF759" w:rsidRPr="6FE73CE5">
              <w:rPr>
                <w:color w:val="auto"/>
              </w:rPr>
              <w:t>Evidence</w:t>
            </w:r>
          </w:p>
          <w:p w14:paraId="529D5C4B" w14:textId="7F5171F6" w:rsidR="00F05245" w:rsidRDefault="00F05245" w:rsidP="003C06D7">
            <w:pPr>
              <w:spacing w:after="288"/>
              <w:ind w:right="5"/>
              <w:cnfStyle w:val="100000000000" w:firstRow="1" w:lastRow="0" w:firstColumn="0" w:lastColumn="0" w:oddVBand="0" w:evenVBand="0" w:oddHBand="0" w:evenHBand="0" w:firstRowFirstColumn="0" w:firstRowLastColumn="0" w:lastRowFirstColumn="0" w:lastRowLastColumn="0"/>
            </w:pPr>
          </w:p>
        </w:tc>
        <w:tc>
          <w:tcPr>
            <w:tcW w:w="3020" w:type="dxa"/>
            <w:vAlign w:val="center"/>
          </w:tcPr>
          <w:p w14:paraId="79EA8E05" w14:textId="4F10AF7A" w:rsidR="00F05245" w:rsidRPr="0095687E" w:rsidRDefault="07498FDA" w:rsidP="003C06D7">
            <w:pPr>
              <w:spacing w:after="288"/>
              <w:ind w:right="5"/>
              <w:cnfStyle w:val="100000000000" w:firstRow="1" w:lastRow="0" w:firstColumn="0" w:lastColumn="0" w:oddVBand="0" w:evenVBand="0" w:oddHBand="0" w:evenHBand="0" w:firstRowFirstColumn="0" w:firstRowLastColumn="0" w:lastRowFirstColumn="0" w:lastRowLastColumn="0"/>
              <w:rPr>
                <w:color w:val="auto"/>
              </w:rPr>
            </w:pPr>
            <w:r w:rsidRPr="6FE73CE5">
              <w:rPr>
                <w:color w:val="auto"/>
              </w:rPr>
              <w:t>SLT Signature and date</w:t>
            </w:r>
          </w:p>
        </w:tc>
      </w:tr>
      <w:tr w:rsidR="004B5207" w14:paraId="6D01A0B6" w14:textId="77777777" w:rsidTr="00716744">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514F1B2F" w14:textId="764A0038" w:rsidR="004B5207" w:rsidRPr="00913FF8" w:rsidRDefault="004B5207" w:rsidP="00716744">
            <w:pPr>
              <w:spacing w:after="288"/>
              <w:ind w:right="5"/>
              <w:rPr>
                <w:b w:val="0"/>
                <w:bCs w:val="0"/>
              </w:rPr>
            </w:pPr>
            <w:r w:rsidRPr="00913FF8">
              <w:rPr>
                <w:b w:val="0"/>
                <w:bCs w:val="0"/>
              </w:rPr>
              <w:t>1.</w:t>
            </w:r>
            <w:r w:rsidRPr="00913FF8">
              <w:rPr>
                <w:rFonts w:ascii="Arial" w:eastAsia="Arial" w:hAnsi="Arial" w:cs="Arial"/>
                <w:b w:val="0"/>
                <w:bCs w:val="0"/>
              </w:rPr>
              <w:t xml:space="preserve"> </w:t>
            </w:r>
            <w:r w:rsidRPr="00913FF8">
              <w:rPr>
                <w:b w:val="0"/>
                <w:bCs w:val="0"/>
              </w:rPr>
              <w:t>discuss the importance of EDS and the service user’s goals with the service user/family/carer</w:t>
            </w:r>
          </w:p>
        </w:tc>
        <w:tc>
          <w:tcPr>
            <w:tcW w:w="3020" w:type="dxa"/>
            <w:vMerge w:val="restart"/>
            <w:vAlign w:val="center"/>
          </w:tcPr>
          <w:p w14:paraId="7BE38E30" w14:textId="4832AD48"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p w14:paraId="62D2B8A2" w14:textId="1EC2DE6A"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49020188"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1A23E727" w14:textId="77777777" w:rsidTr="00716744">
        <w:trPr>
          <w:trHeight w:val="984"/>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770DEA57" w14:textId="77777777" w:rsidR="004B5207" w:rsidRPr="00913FF8" w:rsidRDefault="004B5207" w:rsidP="00716744">
            <w:pPr>
              <w:spacing w:after="288"/>
              <w:ind w:right="5"/>
            </w:pPr>
          </w:p>
        </w:tc>
        <w:tc>
          <w:tcPr>
            <w:tcW w:w="3020" w:type="dxa"/>
            <w:vMerge/>
            <w:tcBorders>
              <w:bottom w:val="single" w:sz="4" w:space="0" w:color="5B9BD5" w:themeColor="accent5"/>
            </w:tcBorders>
            <w:vAlign w:val="center"/>
          </w:tcPr>
          <w:p w14:paraId="6BE3FA1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3FF7478"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67E41E42" w14:textId="77777777" w:rsidTr="00716744">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542C6DD9" w14:textId="0FF74AED" w:rsidR="004B5207" w:rsidRPr="00913FF8" w:rsidRDefault="004B5207" w:rsidP="00716744">
            <w:pPr>
              <w:spacing w:after="288"/>
              <w:ind w:right="5"/>
              <w:rPr>
                <w:b w:val="0"/>
                <w:bCs w:val="0"/>
              </w:rPr>
            </w:pPr>
            <w:r w:rsidRPr="00913FF8">
              <w:rPr>
                <w:b w:val="0"/>
                <w:bCs w:val="0"/>
              </w:rPr>
              <w:t>2.</w:t>
            </w:r>
            <w:r w:rsidRPr="00913FF8">
              <w:rPr>
                <w:rFonts w:ascii="Arial" w:eastAsia="Arial" w:hAnsi="Arial" w:cs="Arial"/>
                <w:b w:val="0"/>
                <w:bCs w:val="0"/>
              </w:rPr>
              <w:t xml:space="preserve"> </w:t>
            </w:r>
            <w:r w:rsidRPr="00913FF8">
              <w:rPr>
                <w:b w:val="0"/>
                <w:bCs w:val="0"/>
              </w:rPr>
              <w:t>apply health and safety procedures related to working with service users who are at risk of, or who present with, EDS difficulties</w:t>
            </w:r>
          </w:p>
        </w:tc>
        <w:tc>
          <w:tcPr>
            <w:tcW w:w="3020" w:type="dxa"/>
            <w:vMerge w:val="restart"/>
            <w:vAlign w:val="center"/>
          </w:tcPr>
          <w:p w14:paraId="477F0F6C"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707F8A28"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6C385F47" w14:textId="77777777" w:rsidTr="00716744">
        <w:trPr>
          <w:trHeight w:val="1176"/>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41470C1B" w14:textId="77777777" w:rsidR="004B5207" w:rsidRPr="00913FF8" w:rsidRDefault="004B5207" w:rsidP="00716744">
            <w:pPr>
              <w:spacing w:after="288"/>
              <w:ind w:right="5"/>
            </w:pPr>
          </w:p>
        </w:tc>
        <w:tc>
          <w:tcPr>
            <w:tcW w:w="3020" w:type="dxa"/>
            <w:vMerge/>
            <w:tcBorders>
              <w:bottom w:val="single" w:sz="4" w:space="0" w:color="5B9BD5" w:themeColor="accent5"/>
            </w:tcBorders>
            <w:vAlign w:val="center"/>
          </w:tcPr>
          <w:p w14:paraId="5DA831D6"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188CCA44"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2FCAC539" w14:textId="77777777" w:rsidTr="00716744">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3A31B324" w14:textId="1D020CD7" w:rsidR="004B5207" w:rsidRPr="00913FF8" w:rsidRDefault="004B5207" w:rsidP="00716744">
            <w:pPr>
              <w:spacing w:after="288"/>
              <w:ind w:right="5"/>
              <w:rPr>
                <w:b w:val="0"/>
                <w:bCs w:val="0"/>
              </w:rPr>
            </w:pPr>
            <w:r w:rsidRPr="00913FF8">
              <w:rPr>
                <w:b w:val="0"/>
                <w:bCs w:val="0"/>
              </w:rPr>
              <w:t>3.</w:t>
            </w:r>
            <w:r w:rsidRPr="00913FF8">
              <w:rPr>
                <w:rFonts w:ascii="Arial" w:eastAsia="Arial" w:hAnsi="Arial" w:cs="Arial"/>
                <w:b w:val="0"/>
                <w:bCs w:val="0"/>
              </w:rPr>
              <w:t xml:space="preserve"> </w:t>
            </w:r>
            <w:r w:rsidRPr="00913FF8">
              <w:rPr>
                <w:b w:val="0"/>
                <w:bCs w:val="0"/>
              </w:rPr>
              <w:t>identify information required from case history and referral information, that will guide the service user/family/carer interviews</w:t>
            </w:r>
          </w:p>
        </w:tc>
        <w:tc>
          <w:tcPr>
            <w:tcW w:w="3020" w:type="dxa"/>
            <w:vMerge w:val="restart"/>
            <w:vAlign w:val="center"/>
          </w:tcPr>
          <w:p w14:paraId="1FB23596"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12BE763D"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2B010C1F" w14:textId="77777777" w:rsidTr="00716744">
        <w:trPr>
          <w:trHeight w:val="1176"/>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239E0DC9" w14:textId="77777777" w:rsidR="004B5207" w:rsidRPr="00913FF8" w:rsidRDefault="004B5207" w:rsidP="00716744">
            <w:pPr>
              <w:spacing w:after="288"/>
              <w:ind w:right="5"/>
            </w:pPr>
          </w:p>
        </w:tc>
        <w:tc>
          <w:tcPr>
            <w:tcW w:w="3020" w:type="dxa"/>
            <w:vMerge/>
            <w:tcBorders>
              <w:bottom w:val="single" w:sz="4" w:space="0" w:color="5B9BD5" w:themeColor="accent5"/>
            </w:tcBorders>
            <w:vAlign w:val="center"/>
          </w:tcPr>
          <w:p w14:paraId="01838A73"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E631A9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33EE3DE3" w14:textId="77777777" w:rsidTr="00716744">
        <w:trPr>
          <w:cnfStyle w:val="000000100000" w:firstRow="0" w:lastRow="0" w:firstColumn="0" w:lastColumn="0" w:oddVBand="0" w:evenVBand="0" w:oddHBand="1" w:evenHBand="0" w:firstRowFirstColumn="0" w:firstRowLastColumn="0" w:lastRowFirstColumn="0" w:lastRowLastColumn="0"/>
          <w:trHeight w:val="1176"/>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244A2D73" w14:textId="72B3440F" w:rsidR="004B5207" w:rsidRPr="00913FF8" w:rsidRDefault="004B5207" w:rsidP="00716744">
            <w:pPr>
              <w:spacing w:after="288"/>
              <w:ind w:right="5"/>
              <w:rPr>
                <w:b w:val="0"/>
                <w:bCs w:val="0"/>
              </w:rPr>
            </w:pPr>
            <w:r w:rsidRPr="00913FF8">
              <w:rPr>
                <w:b w:val="0"/>
                <w:bCs w:val="0"/>
              </w:rPr>
              <w:lastRenderedPageBreak/>
              <w:t>4.</w:t>
            </w:r>
            <w:r w:rsidRPr="00913FF8">
              <w:rPr>
                <w:rFonts w:ascii="Arial" w:eastAsia="Arial" w:hAnsi="Arial" w:cs="Arial"/>
                <w:b w:val="0"/>
                <w:bCs w:val="0"/>
              </w:rPr>
              <w:t xml:space="preserve"> </w:t>
            </w:r>
            <w:r w:rsidRPr="00913FF8">
              <w:rPr>
                <w:b w:val="0"/>
                <w:bCs w:val="0"/>
              </w:rPr>
              <w:t>obtain detailed background information from case notes, including cultural, social and psychological factors, relevant to EDS</w:t>
            </w:r>
          </w:p>
        </w:tc>
        <w:tc>
          <w:tcPr>
            <w:tcW w:w="3020" w:type="dxa"/>
            <w:vMerge w:val="restart"/>
            <w:vAlign w:val="center"/>
          </w:tcPr>
          <w:p w14:paraId="4CBE554A"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3CDAE0C8"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627B8938" w14:textId="77777777" w:rsidTr="00716744">
        <w:trPr>
          <w:trHeight w:val="1176"/>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2CA0BE10" w14:textId="77777777" w:rsidR="004B5207" w:rsidRPr="00913FF8" w:rsidRDefault="004B5207" w:rsidP="00716744">
            <w:pPr>
              <w:spacing w:after="288"/>
              <w:ind w:right="5"/>
            </w:pPr>
          </w:p>
        </w:tc>
        <w:tc>
          <w:tcPr>
            <w:tcW w:w="3020" w:type="dxa"/>
            <w:vMerge/>
            <w:tcBorders>
              <w:bottom w:val="single" w:sz="4" w:space="0" w:color="5B9BD5" w:themeColor="accent5"/>
            </w:tcBorders>
            <w:vAlign w:val="center"/>
          </w:tcPr>
          <w:p w14:paraId="2DA832F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8B9298B"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5279F5A7" w14:textId="77777777" w:rsidTr="00716744">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0B462DFF" w14:textId="6246D6E1" w:rsidR="004B5207" w:rsidRPr="00913FF8" w:rsidRDefault="004B5207" w:rsidP="00716744">
            <w:pPr>
              <w:spacing w:after="288"/>
              <w:ind w:right="5"/>
              <w:rPr>
                <w:b w:val="0"/>
                <w:bCs w:val="0"/>
              </w:rPr>
            </w:pPr>
            <w:r w:rsidRPr="00913FF8">
              <w:rPr>
                <w:b w:val="0"/>
                <w:bCs w:val="0"/>
              </w:rPr>
              <w:t>5. carry out oral facial (sensory and motor) examinations on population without EDS difficulties</w:t>
            </w:r>
          </w:p>
        </w:tc>
        <w:tc>
          <w:tcPr>
            <w:tcW w:w="3020" w:type="dxa"/>
            <w:vMerge w:val="restart"/>
            <w:vAlign w:val="center"/>
          </w:tcPr>
          <w:p w14:paraId="1E5F356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459078E0"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14E3ACDA" w14:textId="77777777" w:rsidTr="00716744">
        <w:trPr>
          <w:trHeight w:val="984"/>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09C88E9D" w14:textId="77777777" w:rsidR="004B5207" w:rsidRPr="00913FF8" w:rsidRDefault="004B5207" w:rsidP="00716744">
            <w:pPr>
              <w:spacing w:after="288"/>
              <w:ind w:right="5"/>
            </w:pPr>
          </w:p>
        </w:tc>
        <w:tc>
          <w:tcPr>
            <w:tcW w:w="3020" w:type="dxa"/>
            <w:vMerge/>
            <w:tcBorders>
              <w:bottom w:val="single" w:sz="4" w:space="0" w:color="5B9BD5" w:themeColor="accent5"/>
            </w:tcBorders>
            <w:vAlign w:val="center"/>
          </w:tcPr>
          <w:p w14:paraId="6E13CDBC"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08C8A80D"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776FED9D" w14:textId="77777777" w:rsidTr="0071674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20" w:type="dxa"/>
            <w:vMerge w:val="restart"/>
          </w:tcPr>
          <w:p w14:paraId="245EBB99" w14:textId="1E5F1617" w:rsidR="004B5207" w:rsidRPr="00913FF8" w:rsidRDefault="004B5207" w:rsidP="00716744">
            <w:pPr>
              <w:rPr>
                <w:b w:val="0"/>
                <w:bCs w:val="0"/>
              </w:rPr>
            </w:pPr>
            <w:r w:rsidRPr="00913FF8">
              <w:rPr>
                <w:b w:val="0"/>
                <w:bCs w:val="0"/>
              </w:rPr>
              <w:t>6. recognise the positive and negative</w:t>
            </w:r>
            <w:r>
              <w:rPr>
                <w:b w:val="0"/>
                <w:bCs w:val="0"/>
              </w:rPr>
              <w:t xml:space="preserve"> </w:t>
            </w:r>
            <w:r w:rsidRPr="00913FF8">
              <w:rPr>
                <w:b w:val="0"/>
                <w:bCs w:val="0"/>
              </w:rPr>
              <w:t>impacts of modifying aspects of the EDS process</w:t>
            </w:r>
          </w:p>
        </w:tc>
        <w:tc>
          <w:tcPr>
            <w:tcW w:w="3020" w:type="dxa"/>
            <w:vMerge w:val="restart"/>
            <w:vAlign w:val="center"/>
          </w:tcPr>
          <w:p w14:paraId="614FA603"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47A09B3A"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347EA628" w14:textId="77777777" w:rsidTr="00716744">
        <w:trPr>
          <w:trHeight w:val="584"/>
        </w:trPr>
        <w:tc>
          <w:tcPr>
            <w:cnfStyle w:val="001000000000" w:firstRow="0" w:lastRow="0" w:firstColumn="1" w:lastColumn="0" w:oddVBand="0" w:evenVBand="0" w:oddHBand="0" w:evenHBand="0" w:firstRowFirstColumn="0" w:firstRowLastColumn="0" w:lastRowFirstColumn="0" w:lastRowLastColumn="0"/>
            <w:tcW w:w="3020" w:type="dxa"/>
            <w:vMerge/>
            <w:tcBorders>
              <w:bottom w:val="single" w:sz="4" w:space="0" w:color="5B9BD5" w:themeColor="accent5"/>
            </w:tcBorders>
          </w:tcPr>
          <w:p w14:paraId="2331D1D0" w14:textId="77777777" w:rsidR="004B5207" w:rsidRPr="00913FF8" w:rsidRDefault="004B5207" w:rsidP="00716744"/>
        </w:tc>
        <w:tc>
          <w:tcPr>
            <w:tcW w:w="3020" w:type="dxa"/>
            <w:vMerge/>
            <w:tcBorders>
              <w:bottom w:val="single" w:sz="4" w:space="0" w:color="5B9BD5" w:themeColor="accent5"/>
            </w:tcBorders>
            <w:vAlign w:val="center"/>
          </w:tcPr>
          <w:p w14:paraId="494ADE3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583CEDE1"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28923064" w14:textId="77777777" w:rsidTr="00716744">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2E9E12E7" w14:textId="52AE5113" w:rsidR="004B5207" w:rsidRPr="00913FF8" w:rsidRDefault="004B5207" w:rsidP="00716744">
            <w:pPr>
              <w:rPr>
                <w:b w:val="0"/>
                <w:bCs w:val="0"/>
              </w:rPr>
            </w:pPr>
            <w:r w:rsidRPr="00913FF8">
              <w:rPr>
                <w:b w:val="0"/>
                <w:bCs w:val="0"/>
              </w:rPr>
              <w:t>7.</w:t>
            </w:r>
            <w:r w:rsidRPr="00913FF8">
              <w:rPr>
                <w:rFonts w:ascii="Arial" w:eastAsia="Arial" w:hAnsi="Arial" w:cs="Arial"/>
                <w:b w:val="0"/>
                <w:bCs w:val="0"/>
              </w:rPr>
              <w:t xml:space="preserve"> </w:t>
            </w:r>
            <w:r w:rsidRPr="00913FF8">
              <w:rPr>
                <w:b w:val="0"/>
                <w:bCs w:val="0"/>
              </w:rPr>
              <w:t>describe the indications for and against non-oral supplementation of nutrition and/or hydration</w:t>
            </w:r>
          </w:p>
        </w:tc>
        <w:tc>
          <w:tcPr>
            <w:tcW w:w="3020" w:type="dxa"/>
            <w:vMerge w:val="restart"/>
            <w:vAlign w:val="center"/>
          </w:tcPr>
          <w:p w14:paraId="0147F28D"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4030BB6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505C2DC1" w14:textId="77777777" w:rsidTr="00716744">
        <w:trPr>
          <w:trHeight w:val="777"/>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48FE6D55" w14:textId="77777777" w:rsidR="004B5207" w:rsidRPr="00913FF8" w:rsidRDefault="004B5207" w:rsidP="00716744"/>
        </w:tc>
        <w:tc>
          <w:tcPr>
            <w:tcW w:w="3020" w:type="dxa"/>
            <w:vMerge/>
            <w:tcBorders>
              <w:bottom w:val="single" w:sz="4" w:space="0" w:color="5B9BD5" w:themeColor="accent5"/>
            </w:tcBorders>
            <w:vAlign w:val="center"/>
          </w:tcPr>
          <w:p w14:paraId="63B53C74"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3ADD2188"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629775B7" w14:textId="77777777" w:rsidTr="00716744">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53F95297" w14:textId="04692FDB" w:rsidR="004B5207" w:rsidRPr="00913FF8" w:rsidRDefault="004B5207" w:rsidP="00716744">
            <w:pPr>
              <w:rPr>
                <w:b w:val="0"/>
                <w:bCs w:val="0"/>
              </w:rPr>
            </w:pPr>
            <w:r w:rsidRPr="00913FF8">
              <w:rPr>
                <w:b w:val="0"/>
                <w:bCs w:val="0"/>
              </w:rPr>
              <w:t>8.</w:t>
            </w:r>
            <w:r w:rsidRPr="00913FF8">
              <w:rPr>
                <w:rFonts w:ascii="Arial" w:eastAsia="Arial" w:hAnsi="Arial" w:cs="Arial"/>
                <w:b w:val="0"/>
                <w:bCs w:val="0"/>
              </w:rPr>
              <w:t xml:space="preserve"> </w:t>
            </w:r>
            <w:r w:rsidRPr="00913FF8">
              <w:rPr>
                <w:b w:val="0"/>
                <w:bCs w:val="0"/>
              </w:rPr>
              <w:t>recognise the signs and symptoms oropharyngeal and oesophageal dysphagia to inform diagnostic hypotheses</w:t>
            </w:r>
          </w:p>
        </w:tc>
        <w:tc>
          <w:tcPr>
            <w:tcW w:w="3020" w:type="dxa"/>
            <w:vMerge w:val="restart"/>
            <w:vAlign w:val="center"/>
          </w:tcPr>
          <w:p w14:paraId="1EE251A9"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6B637BF6"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62E5D244" w14:textId="77777777" w:rsidTr="00716744">
        <w:trPr>
          <w:trHeight w:val="969"/>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0AB95D39" w14:textId="77777777" w:rsidR="004B5207" w:rsidRPr="00913FF8" w:rsidRDefault="004B5207" w:rsidP="00716744"/>
        </w:tc>
        <w:tc>
          <w:tcPr>
            <w:tcW w:w="3020" w:type="dxa"/>
            <w:vMerge/>
            <w:tcBorders>
              <w:bottom w:val="single" w:sz="4" w:space="0" w:color="5B9BD5" w:themeColor="accent5"/>
            </w:tcBorders>
            <w:vAlign w:val="center"/>
          </w:tcPr>
          <w:p w14:paraId="043A174C"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439C6BF1"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0E38FEE4" w14:textId="77777777" w:rsidTr="00716744">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11B625C4" w14:textId="525D91E4" w:rsidR="004B5207" w:rsidRPr="00913FF8" w:rsidRDefault="004B5207" w:rsidP="00716744">
            <w:pPr>
              <w:rPr>
                <w:b w:val="0"/>
                <w:bCs w:val="0"/>
              </w:rPr>
            </w:pPr>
            <w:r w:rsidRPr="00913FF8">
              <w:rPr>
                <w:b w:val="0"/>
                <w:bCs w:val="0"/>
              </w:rPr>
              <w:t>9.</w:t>
            </w:r>
            <w:r w:rsidRPr="00913FF8">
              <w:rPr>
                <w:rFonts w:ascii="Arial" w:eastAsia="Arial" w:hAnsi="Arial" w:cs="Arial"/>
                <w:b w:val="0"/>
                <w:bCs w:val="0"/>
              </w:rPr>
              <w:t xml:space="preserve"> </w:t>
            </w:r>
            <w:r w:rsidRPr="00913FF8">
              <w:rPr>
                <w:b w:val="0"/>
                <w:bCs w:val="0"/>
              </w:rPr>
              <w:t>discuss service user/family/carer perspective when taking detailed case histories relevant to EDS</w:t>
            </w:r>
          </w:p>
        </w:tc>
        <w:tc>
          <w:tcPr>
            <w:tcW w:w="3020" w:type="dxa"/>
            <w:vMerge w:val="restart"/>
            <w:vAlign w:val="center"/>
          </w:tcPr>
          <w:p w14:paraId="13D38FBF"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363E4710"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20A331FE" w14:textId="77777777" w:rsidTr="00716744">
        <w:trPr>
          <w:trHeight w:val="777"/>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0EC93660" w14:textId="77777777" w:rsidR="004B5207" w:rsidRPr="00913FF8" w:rsidRDefault="004B5207" w:rsidP="00716744"/>
        </w:tc>
        <w:tc>
          <w:tcPr>
            <w:tcW w:w="3020" w:type="dxa"/>
            <w:vMerge/>
            <w:tcBorders>
              <w:bottom w:val="single" w:sz="4" w:space="0" w:color="5B9BD5" w:themeColor="accent5"/>
            </w:tcBorders>
            <w:vAlign w:val="center"/>
          </w:tcPr>
          <w:p w14:paraId="5837AFEE"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6B6519F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5D3C50D7" w14:textId="77777777" w:rsidTr="00716744">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7F7B7694" w14:textId="6AB2AD8B" w:rsidR="004B5207" w:rsidRPr="00913FF8" w:rsidRDefault="004B5207" w:rsidP="00716744">
            <w:pPr>
              <w:rPr>
                <w:b w:val="0"/>
                <w:bCs w:val="0"/>
              </w:rPr>
            </w:pPr>
            <w:r w:rsidRPr="00913FF8">
              <w:rPr>
                <w:b w:val="0"/>
                <w:bCs w:val="0"/>
              </w:rPr>
              <w:t>10.</w:t>
            </w:r>
            <w:r w:rsidRPr="00913FF8">
              <w:rPr>
                <w:rFonts w:ascii="Arial" w:eastAsia="Arial" w:hAnsi="Arial" w:cs="Arial"/>
                <w:b w:val="0"/>
                <w:bCs w:val="0"/>
              </w:rPr>
              <w:t xml:space="preserve"> </w:t>
            </w:r>
            <w:r w:rsidRPr="00913FF8">
              <w:rPr>
                <w:b w:val="0"/>
                <w:bCs w:val="0"/>
              </w:rPr>
              <w:t>evaluate oral, facial, and swallowing functioning of service users at risk of EDS difficulty</w:t>
            </w:r>
          </w:p>
        </w:tc>
        <w:tc>
          <w:tcPr>
            <w:tcW w:w="3020" w:type="dxa"/>
            <w:vMerge w:val="restart"/>
            <w:vAlign w:val="center"/>
          </w:tcPr>
          <w:p w14:paraId="3E811290"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78B1EF75"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3038EAFA" w14:textId="77777777" w:rsidTr="00716744">
        <w:trPr>
          <w:trHeight w:val="777"/>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1BDE9F90" w14:textId="77777777" w:rsidR="004B5207" w:rsidRPr="00913FF8" w:rsidRDefault="004B5207" w:rsidP="00716744"/>
        </w:tc>
        <w:tc>
          <w:tcPr>
            <w:tcW w:w="3020" w:type="dxa"/>
            <w:vMerge/>
            <w:tcBorders>
              <w:bottom w:val="single" w:sz="4" w:space="0" w:color="5B9BD5" w:themeColor="accent5"/>
            </w:tcBorders>
            <w:vAlign w:val="center"/>
          </w:tcPr>
          <w:p w14:paraId="469C0864"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6AFABD31"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005C82E1" w14:textId="77777777" w:rsidTr="00716744">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0D026C2D" w14:textId="63B8A5E7" w:rsidR="004B5207" w:rsidRPr="003C06D7" w:rsidRDefault="004B5207" w:rsidP="00716744">
            <w:pPr>
              <w:rPr>
                <w:b w:val="0"/>
                <w:bCs w:val="0"/>
              </w:rPr>
            </w:pPr>
            <w:r w:rsidRPr="003C06D7">
              <w:rPr>
                <w:b w:val="0"/>
                <w:bCs w:val="0"/>
              </w:rPr>
              <w:lastRenderedPageBreak/>
              <w:t>11.</w:t>
            </w:r>
            <w:r w:rsidRPr="003C06D7">
              <w:rPr>
                <w:rFonts w:ascii="Arial" w:eastAsia="Arial" w:hAnsi="Arial" w:cs="Arial"/>
                <w:b w:val="0"/>
                <w:bCs w:val="0"/>
              </w:rPr>
              <w:t xml:space="preserve"> </w:t>
            </w:r>
            <w:r w:rsidRPr="003C06D7">
              <w:rPr>
                <w:b w:val="0"/>
                <w:bCs w:val="0"/>
              </w:rPr>
              <w:t>formulate hypotheses and outline possible intervention options for discussion with the practice educator</w:t>
            </w:r>
          </w:p>
        </w:tc>
        <w:tc>
          <w:tcPr>
            <w:tcW w:w="3020" w:type="dxa"/>
            <w:vMerge w:val="restart"/>
            <w:vAlign w:val="center"/>
          </w:tcPr>
          <w:p w14:paraId="30FCB731"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6A0C9928"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0252F923" w14:textId="77777777" w:rsidTr="00716744">
        <w:trPr>
          <w:trHeight w:val="777"/>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3F4A972E" w14:textId="77777777" w:rsidR="004B5207" w:rsidRPr="003C06D7" w:rsidRDefault="004B5207" w:rsidP="00716744"/>
        </w:tc>
        <w:tc>
          <w:tcPr>
            <w:tcW w:w="3020" w:type="dxa"/>
            <w:vMerge/>
            <w:tcBorders>
              <w:bottom w:val="single" w:sz="4" w:space="0" w:color="5B9BD5" w:themeColor="accent5"/>
            </w:tcBorders>
            <w:vAlign w:val="center"/>
          </w:tcPr>
          <w:p w14:paraId="2B9686AB"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48B9287C"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4C52AD4E" w14:textId="77777777" w:rsidTr="00716744">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3071713D" w14:textId="3DC18B26" w:rsidR="004B5207" w:rsidRPr="003C06D7" w:rsidRDefault="004B5207" w:rsidP="00716744">
            <w:pPr>
              <w:ind w:right="48"/>
              <w:rPr>
                <w:b w:val="0"/>
                <w:bCs w:val="0"/>
              </w:rPr>
            </w:pPr>
            <w:r w:rsidRPr="003C06D7">
              <w:rPr>
                <w:b w:val="0"/>
                <w:bCs w:val="0"/>
              </w:rPr>
              <w:t>12.</w:t>
            </w:r>
            <w:r w:rsidRPr="003C06D7">
              <w:rPr>
                <w:rFonts w:ascii="Arial" w:eastAsia="Arial" w:hAnsi="Arial" w:cs="Arial"/>
                <w:b w:val="0"/>
                <w:bCs w:val="0"/>
              </w:rPr>
              <w:t xml:space="preserve"> </w:t>
            </w:r>
            <w:r w:rsidRPr="003C06D7">
              <w:rPr>
                <w:b w:val="0"/>
                <w:bCs w:val="0"/>
              </w:rPr>
              <w:t>apply knowledge of evidence-based rehabilitation and compensatory techniques to develop person-centred</w:t>
            </w:r>
          </w:p>
          <w:p w14:paraId="2102F7BF" w14:textId="450410CA" w:rsidR="004B5207" w:rsidRPr="003C06D7" w:rsidRDefault="004B5207" w:rsidP="00716744">
            <w:pPr>
              <w:rPr>
                <w:b w:val="0"/>
                <w:bCs w:val="0"/>
              </w:rPr>
            </w:pPr>
            <w:r w:rsidRPr="003C06D7">
              <w:rPr>
                <w:b w:val="0"/>
                <w:bCs w:val="0"/>
              </w:rPr>
              <w:t>intervention plans</w:t>
            </w:r>
          </w:p>
        </w:tc>
        <w:tc>
          <w:tcPr>
            <w:tcW w:w="3020" w:type="dxa"/>
            <w:vMerge w:val="restart"/>
            <w:vAlign w:val="center"/>
          </w:tcPr>
          <w:p w14:paraId="09E71835"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0198571D"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429D3C04" w14:textId="77777777" w:rsidTr="00716744">
        <w:trPr>
          <w:trHeight w:val="1162"/>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0D8D48DF" w14:textId="77777777" w:rsidR="004B5207" w:rsidRPr="003C06D7" w:rsidRDefault="004B5207" w:rsidP="00716744">
            <w:pPr>
              <w:ind w:right="48"/>
            </w:pPr>
          </w:p>
        </w:tc>
        <w:tc>
          <w:tcPr>
            <w:tcW w:w="3020" w:type="dxa"/>
            <w:vMerge/>
            <w:tcBorders>
              <w:bottom w:val="single" w:sz="4" w:space="0" w:color="5B9BD5" w:themeColor="accent5"/>
            </w:tcBorders>
            <w:vAlign w:val="center"/>
          </w:tcPr>
          <w:p w14:paraId="00313CE7"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7BFA0BA2"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3FB588FB" w14:textId="77777777" w:rsidTr="00716744">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4B5FD1A6" w14:textId="4804E302" w:rsidR="004B5207" w:rsidRPr="003C06D7" w:rsidRDefault="004B5207" w:rsidP="00716744">
            <w:pPr>
              <w:spacing w:line="259" w:lineRule="auto"/>
              <w:rPr>
                <w:b w:val="0"/>
                <w:bCs w:val="0"/>
              </w:rPr>
            </w:pPr>
            <w:r w:rsidRPr="003C06D7">
              <w:rPr>
                <w:b w:val="0"/>
                <w:bCs w:val="0"/>
              </w:rPr>
              <w:t>13.</w:t>
            </w:r>
            <w:r w:rsidRPr="003C06D7">
              <w:rPr>
                <w:rFonts w:ascii="Arial" w:eastAsia="Arial" w:hAnsi="Arial" w:cs="Arial"/>
                <w:b w:val="0"/>
                <w:bCs w:val="0"/>
              </w:rPr>
              <w:t xml:space="preserve"> </w:t>
            </w:r>
            <w:r w:rsidRPr="003C06D7">
              <w:rPr>
                <w:b w:val="0"/>
                <w:bCs w:val="0"/>
              </w:rPr>
              <w:t>explain management programmes to</w:t>
            </w:r>
          </w:p>
          <w:p w14:paraId="35FAB5C1" w14:textId="7E85A475" w:rsidR="004B5207" w:rsidRPr="003C06D7" w:rsidRDefault="004B5207" w:rsidP="00716744">
            <w:pPr>
              <w:spacing w:line="259" w:lineRule="auto"/>
              <w:rPr>
                <w:b w:val="0"/>
                <w:bCs w:val="0"/>
              </w:rPr>
            </w:pPr>
            <w:r w:rsidRPr="003C06D7">
              <w:rPr>
                <w:b w:val="0"/>
                <w:bCs w:val="0"/>
              </w:rPr>
              <w:t>service users/family/carers and relevant</w:t>
            </w:r>
          </w:p>
          <w:p w14:paraId="02A86245" w14:textId="68030973" w:rsidR="004B5207" w:rsidRPr="003C06D7" w:rsidRDefault="004B5207" w:rsidP="00716744">
            <w:pPr>
              <w:rPr>
                <w:b w:val="0"/>
                <w:bCs w:val="0"/>
              </w:rPr>
            </w:pPr>
            <w:r w:rsidRPr="003C06D7">
              <w:rPr>
                <w:b w:val="0"/>
                <w:bCs w:val="0"/>
              </w:rPr>
              <w:t>team members</w:t>
            </w:r>
          </w:p>
        </w:tc>
        <w:tc>
          <w:tcPr>
            <w:tcW w:w="3020" w:type="dxa"/>
            <w:vMerge w:val="restart"/>
            <w:vAlign w:val="center"/>
          </w:tcPr>
          <w:p w14:paraId="10CE9E6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619F84C6"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65696900" w14:textId="77777777" w:rsidTr="00716744">
        <w:trPr>
          <w:trHeight w:val="1033"/>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0292668C" w14:textId="77777777" w:rsidR="004B5207" w:rsidRPr="003C06D7" w:rsidRDefault="004B5207" w:rsidP="00716744"/>
        </w:tc>
        <w:tc>
          <w:tcPr>
            <w:tcW w:w="3020" w:type="dxa"/>
            <w:vMerge/>
            <w:tcBorders>
              <w:bottom w:val="single" w:sz="4" w:space="0" w:color="5B9BD5" w:themeColor="accent5"/>
            </w:tcBorders>
            <w:vAlign w:val="center"/>
          </w:tcPr>
          <w:p w14:paraId="4574B046"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89B35BD"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5B80B470" w14:textId="77777777" w:rsidTr="00716744">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6CDEA426" w14:textId="578E5EA9" w:rsidR="004B5207" w:rsidRPr="003C06D7" w:rsidRDefault="004B5207" w:rsidP="00716744">
            <w:pPr>
              <w:rPr>
                <w:b w:val="0"/>
                <w:bCs w:val="0"/>
              </w:rPr>
            </w:pPr>
            <w:r w:rsidRPr="003C06D7">
              <w:rPr>
                <w:b w:val="0"/>
                <w:bCs w:val="0"/>
              </w:rPr>
              <w:t>14.</w:t>
            </w:r>
            <w:r w:rsidRPr="003C06D7">
              <w:rPr>
                <w:rFonts w:ascii="Arial" w:eastAsia="Arial" w:hAnsi="Arial" w:cs="Arial"/>
                <w:b w:val="0"/>
                <w:bCs w:val="0"/>
              </w:rPr>
              <w:t xml:space="preserve"> </w:t>
            </w:r>
            <w:r w:rsidRPr="003C06D7">
              <w:rPr>
                <w:b w:val="0"/>
                <w:bCs w:val="0"/>
              </w:rPr>
              <w:t>use appropriate assessments to observe, record and evaluate EDS patterns, including trials of proposed intervention(s)</w:t>
            </w:r>
          </w:p>
        </w:tc>
        <w:tc>
          <w:tcPr>
            <w:tcW w:w="3020" w:type="dxa"/>
            <w:vMerge w:val="restart"/>
            <w:vAlign w:val="center"/>
          </w:tcPr>
          <w:p w14:paraId="344C41D0"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6C8593B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0E429D25" w14:textId="77777777" w:rsidTr="00716744">
        <w:trPr>
          <w:trHeight w:val="969"/>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70E5741E" w14:textId="77777777" w:rsidR="004B5207" w:rsidRPr="003C06D7" w:rsidRDefault="004B5207" w:rsidP="00716744"/>
        </w:tc>
        <w:tc>
          <w:tcPr>
            <w:tcW w:w="3020" w:type="dxa"/>
            <w:vMerge/>
            <w:tcBorders>
              <w:bottom w:val="single" w:sz="4" w:space="0" w:color="5B9BD5" w:themeColor="accent5"/>
            </w:tcBorders>
            <w:vAlign w:val="center"/>
          </w:tcPr>
          <w:p w14:paraId="2DA4A7D3"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0C7061F"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092D8B88" w14:textId="77777777" w:rsidTr="00716744">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020" w:type="dxa"/>
            <w:vMerge w:val="restart"/>
            <w:tcBorders>
              <w:top w:val="single" w:sz="4" w:space="0" w:color="000000" w:themeColor="text1"/>
              <w:left w:val="single" w:sz="4" w:space="0" w:color="000000" w:themeColor="text1"/>
            </w:tcBorders>
          </w:tcPr>
          <w:p w14:paraId="5DC13F12" w14:textId="0BD26A17" w:rsidR="004B5207" w:rsidRPr="003C06D7" w:rsidRDefault="004B5207" w:rsidP="00716744">
            <w:pPr>
              <w:rPr>
                <w:b w:val="0"/>
                <w:bCs w:val="0"/>
              </w:rPr>
            </w:pPr>
            <w:r w:rsidRPr="003C06D7">
              <w:rPr>
                <w:b w:val="0"/>
                <w:bCs w:val="0"/>
              </w:rPr>
              <w:t>15.</w:t>
            </w:r>
            <w:r w:rsidRPr="003C06D7">
              <w:rPr>
                <w:rFonts w:ascii="Arial" w:eastAsia="Arial" w:hAnsi="Arial" w:cs="Arial"/>
                <w:b w:val="0"/>
                <w:bCs w:val="0"/>
              </w:rPr>
              <w:t xml:space="preserve"> </w:t>
            </w:r>
            <w:r w:rsidRPr="003C06D7">
              <w:rPr>
                <w:b w:val="0"/>
                <w:bCs w:val="0"/>
              </w:rPr>
              <w:t>synthesise information on psychological, social, and biomechanical factors with assessment findings to formulate diagnoses</w:t>
            </w:r>
          </w:p>
        </w:tc>
        <w:tc>
          <w:tcPr>
            <w:tcW w:w="3020" w:type="dxa"/>
            <w:vMerge w:val="restart"/>
            <w:vAlign w:val="center"/>
          </w:tcPr>
          <w:p w14:paraId="599D7F7D"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0A30B21C"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463187F0" w14:textId="77777777" w:rsidTr="00716744">
        <w:trPr>
          <w:trHeight w:val="969"/>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70E9E625" w14:textId="77777777" w:rsidR="004B5207" w:rsidRPr="003C06D7" w:rsidRDefault="004B5207" w:rsidP="00716744"/>
        </w:tc>
        <w:tc>
          <w:tcPr>
            <w:tcW w:w="3020" w:type="dxa"/>
            <w:vMerge/>
            <w:tcBorders>
              <w:bottom w:val="single" w:sz="4" w:space="0" w:color="5B9BD5" w:themeColor="accent5"/>
            </w:tcBorders>
            <w:vAlign w:val="center"/>
          </w:tcPr>
          <w:p w14:paraId="582F0137"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1E4E8ADA"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63C3D06E" w14:textId="77777777" w:rsidTr="00716744">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3020" w:type="dxa"/>
            <w:vMerge w:val="restart"/>
            <w:tcBorders>
              <w:left w:val="single" w:sz="4" w:space="0" w:color="000000" w:themeColor="text1"/>
            </w:tcBorders>
          </w:tcPr>
          <w:p w14:paraId="0379F746" w14:textId="223CAF07" w:rsidR="004B5207" w:rsidRPr="003C06D7" w:rsidRDefault="004B5207" w:rsidP="00716744">
            <w:pPr>
              <w:rPr>
                <w:b w:val="0"/>
                <w:bCs w:val="0"/>
              </w:rPr>
            </w:pPr>
            <w:r w:rsidRPr="003C06D7">
              <w:rPr>
                <w:b w:val="0"/>
                <w:bCs w:val="0"/>
              </w:rPr>
              <w:t>16.</w:t>
            </w:r>
            <w:r w:rsidRPr="003C06D7">
              <w:rPr>
                <w:rFonts w:ascii="Arial" w:eastAsia="Arial" w:hAnsi="Arial" w:cs="Arial"/>
                <w:b w:val="0"/>
                <w:bCs w:val="0"/>
              </w:rPr>
              <w:t xml:space="preserve"> </w:t>
            </w:r>
            <w:r w:rsidRPr="003C06D7">
              <w:rPr>
                <w:b w:val="0"/>
                <w:bCs w:val="0"/>
              </w:rPr>
              <w:t>synthesise information on cultural, psychological, social, and biomechanical factors with assessment findings to develop person-centred intervention plans</w:t>
            </w:r>
          </w:p>
        </w:tc>
        <w:tc>
          <w:tcPr>
            <w:tcW w:w="3020" w:type="dxa"/>
            <w:vMerge w:val="restart"/>
            <w:vAlign w:val="center"/>
          </w:tcPr>
          <w:p w14:paraId="790FEBAD"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72D1555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0D170A23" w14:textId="77777777" w:rsidTr="00716744">
        <w:trPr>
          <w:trHeight w:val="1162"/>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1BBE43AB" w14:textId="77777777" w:rsidR="004B5207" w:rsidRPr="003C06D7" w:rsidRDefault="004B5207" w:rsidP="00716744"/>
        </w:tc>
        <w:tc>
          <w:tcPr>
            <w:tcW w:w="3020" w:type="dxa"/>
            <w:vMerge/>
            <w:tcBorders>
              <w:bottom w:val="single" w:sz="4" w:space="0" w:color="5B9BD5" w:themeColor="accent5"/>
            </w:tcBorders>
            <w:vAlign w:val="center"/>
          </w:tcPr>
          <w:p w14:paraId="6D36BB01"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22E0E06A"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p w14:paraId="67B104EE" w14:textId="77777777" w:rsidR="00233C1D" w:rsidRDefault="00233C1D"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2AEAD6BA" w14:textId="77777777" w:rsidTr="0071674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20" w:type="dxa"/>
            <w:vMerge w:val="restart"/>
            <w:tcBorders>
              <w:left w:val="single" w:sz="4" w:space="0" w:color="000000" w:themeColor="text1"/>
            </w:tcBorders>
          </w:tcPr>
          <w:p w14:paraId="329E2199" w14:textId="0D135BA4" w:rsidR="004B5207" w:rsidRPr="003C06D7" w:rsidRDefault="004B5207" w:rsidP="00716744">
            <w:pPr>
              <w:rPr>
                <w:b w:val="0"/>
                <w:bCs w:val="0"/>
              </w:rPr>
            </w:pPr>
            <w:r w:rsidRPr="003C06D7">
              <w:rPr>
                <w:b w:val="0"/>
                <w:bCs w:val="0"/>
              </w:rPr>
              <w:lastRenderedPageBreak/>
              <w:t>17.</w:t>
            </w:r>
            <w:r w:rsidRPr="003C06D7">
              <w:rPr>
                <w:rFonts w:ascii="Arial" w:eastAsia="Arial" w:hAnsi="Arial" w:cs="Arial"/>
                <w:b w:val="0"/>
                <w:bCs w:val="0"/>
              </w:rPr>
              <w:t xml:space="preserve"> </w:t>
            </w:r>
            <w:r w:rsidRPr="003C06D7">
              <w:rPr>
                <w:b w:val="0"/>
                <w:bCs w:val="0"/>
              </w:rPr>
              <w:t>identify specific person-centred outcomes to support review scheduling</w:t>
            </w:r>
          </w:p>
        </w:tc>
        <w:tc>
          <w:tcPr>
            <w:tcW w:w="3020" w:type="dxa"/>
            <w:vMerge w:val="restart"/>
            <w:vAlign w:val="center"/>
          </w:tcPr>
          <w:p w14:paraId="777BBA27"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60A1669F"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78AF7C53" w14:textId="77777777" w:rsidTr="00716744">
        <w:trPr>
          <w:trHeight w:val="584"/>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02BFAAE4" w14:textId="77777777" w:rsidR="004B5207" w:rsidRPr="003C06D7" w:rsidRDefault="004B5207" w:rsidP="00716744"/>
        </w:tc>
        <w:tc>
          <w:tcPr>
            <w:tcW w:w="3020" w:type="dxa"/>
            <w:vMerge/>
            <w:tcBorders>
              <w:bottom w:val="single" w:sz="4" w:space="0" w:color="5B9BD5" w:themeColor="accent5"/>
            </w:tcBorders>
            <w:vAlign w:val="center"/>
          </w:tcPr>
          <w:p w14:paraId="0E0BA913"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7061F2E0"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5D23067F" w14:textId="77777777" w:rsidTr="0071674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20" w:type="dxa"/>
            <w:vMerge w:val="restart"/>
            <w:tcBorders>
              <w:left w:val="single" w:sz="4" w:space="0" w:color="000000" w:themeColor="text1"/>
            </w:tcBorders>
          </w:tcPr>
          <w:p w14:paraId="189F12D5" w14:textId="3AAF499E" w:rsidR="004B5207" w:rsidRPr="003C06D7" w:rsidRDefault="004B5207" w:rsidP="00716744">
            <w:pPr>
              <w:rPr>
                <w:b w:val="0"/>
                <w:bCs w:val="0"/>
              </w:rPr>
            </w:pPr>
            <w:r w:rsidRPr="003C06D7">
              <w:rPr>
                <w:b w:val="0"/>
                <w:bCs w:val="0"/>
              </w:rPr>
              <w:t>18.</w:t>
            </w:r>
            <w:r w:rsidRPr="003C06D7">
              <w:rPr>
                <w:rFonts w:ascii="Arial" w:eastAsia="Arial" w:hAnsi="Arial" w:cs="Arial"/>
                <w:b w:val="0"/>
                <w:bCs w:val="0"/>
              </w:rPr>
              <w:t xml:space="preserve"> </w:t>
            </w:r>
            <w:r w:rsidRPr="003C06D7">
              <w:rPr>
                <w:b w:val="0"/>
                <w:bCs w:val="0"/>
              </w:rPr>
              <w:t>identify specific person-centred outcomes to identify appropriate discharge points</w:t>
            </w:r>
          </w:p>
        </w:tc>
        <w:tc>
          <w:tcPr>
            <w:tcW w:w="3020" w:type="dxa"/>
            <w:vMerge w:val="restart"/>
            <w:vAlign w:val="center"/>
          </w:tcPr>
          <w:p w14:paraId="29A22DE0"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4DC6C291"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5E19E876" w14:textId="77777777" w:rsidTr="00716744">
        <w:trPr>
          <w:trHeight w:val="584"/>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3E0F6CFF" w14:textId="77777777" w:rsidR="004B5207" w:rsidRPr="003C06D7" w:rsidRDefault="004B5207" w:rsidP="00716744"/>
        </w:tc>
        <w:tc>
          <w:tcPr>
            <w:tcW w:w="3020" w:type="dxa"/>
            <w:vMerge/>
            <w:tcBorders>
              <w:bottom w:val="single" w:sz="4" w:space="0" w:color="5B9BD5" w:themeColor="accent5"/>
            </w:tcBorders>
            <w:vAlign w:val="center"/>
          </w:tcPr>
          <w:p w14:paraId="70D53C37"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3F73F20E"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76624B34" w14:textId="77777777" w:rsidTr="0071674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020" w:type="dxa"/>
            <w:vMerge w:val="restart"/>
            <w:tcBorders>
              <w:left w:val="single" w:sz="4" w:space="0" w:color="000000" w:themeColor="text1"/>
            </w:tcBorders>
          </w:tcPr>
          <w:p w14:paraId="2EB7641E" w14:textId="71A7FE39" w:rsidR="004B5207" w:rsidRPr="003C06D7" w:rsidRDefault="004B5207" w:rsidP="00716744">
            <w:pPr>
              <w:rPr>
                <w:b w:val="0"/>
                <w:bCs w:val="0"/>
              </w:rPr>
            </w:pPr>
            <w:r w:rsidRPr="003C06D7">
              <w:rPr>
                <w:b w:val="0"/>
                <w:bCs w:val="0"/>
              </w:rPr>
              <w:t>19.</w:t>
            </w:r>
            <w:r w:rsidRPr="003C06D7">
              <w:rPr>
                <w:rFonts w:ascii="Arial" w:eastAsia="Arial" w:hAnsi="Arial" w:cs="Arial"/>
                <w:b w:val="0"/>
                <w:bCs w:val="0"/>
              </w:rPr>
              <w:t xml:space="preserve"> </w:t>
            </w:r>
            <w:r w:rsidRPr="003C06D7">
              <w:rPr>
                <w:b w:val="0"/>
                <w:bCs w:val="0"/>
              </w:rPr>
              <w:t>discuss the ethical issues associated with EDS for service users/family/carers</w:t>
            </w:r>
          </w:p>
        </w:tc>
        <w:tc>
          <w:tcPr>
            <w:tcW w:w="3020" w:type="dxa"/>
            <w:vMerge w:val="restart"/>
            <w:vAlign w:val="center"/>
          </w:tcPr>
          <w:p w14:paraId="4C88AED6"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32A81CB6"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30E7DEDA" w14:textId="77777777" w:rsidTr="00716744">
        <w:trPr>
          <w:trHeight w:val="584"/>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tcPr>
          <w:p w14:paraId="134EADCC" w14:textId="77777777" w:rsidR="004B5207" w:rsidRPr="003C06D7" w:rsidRDefault="004B5207" w:rsidP="00716744"/>
        </w:tc>
        <w:tc>
          <w:tcPr>
            <w:tcW w:w="3020" w:type="dxa"/>
            <w:vMerge/>
            <w:tcBorders>
              <w:bottom w:val="single" w:sz="4" w:space="0" w:color="5B9BD5" w:themeColor="accent5"/>
            </w:tcBorders>
            <w:vAlign w:val="center"/>
          </w:tcPr>
          <w:p w14:paraId="4C6E39DC"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3BAE8317"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r w:rsidR="004B5207" w14:paraId="20891B49" w14:textId="77777777" w:rsidTr="00716744">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020" w:type="dxa"/>
            <w:vMerge w:val="restart"/>
            <w:tcBorders>
              <w:left w:val="single" w:sz="4" w:space="0" w:color="000000" w:themeColor="text1"/>
            </w:tcBorders>
          </w:tcPr>
          <w:p w14:paraId="6C5958B7" w14:textId="54D0CA04" w:rsidR="004B5207" w:rsidRPr="003C06D7" w:rsidRDefault="004B5207" w:rsidP="00716744">
            <w:pPr>
              <w:rPr>
                <w:b w:val="0"/>
                <w:bCs w:val="0"/>
              </w:rPr>
            </w:pPr>
            <w:r w:rsidRPr="003C06D7">
              <w:rPr>
                <w:b w:val="0"/>
                <w:bCs w:val="0"/>
              </w:rPr>
              <w:t>20.</w:t>
            </w:r>
            <w:r w:rsidRPr="003C06D7">
              <w:rPr>
                <w:rFonts w:ascii="Arial" w:eastAsia="Arial" w:hAnsi="Arial" w:cs="Arial"/>
                <w:b w:val="0"/>
                <w:bCs w:val="0"/>
              </w:rPr>
              <w:t xml:space="preserve"> </w:t>
            </w:r>
            <w:r w:rsidRPr="003C06D7">
              <w:rPr>
                <w:b w:val="0"/>
                <w:bCs w:val="0"/>
              </w:rPr>
              <w:t>identify situations associated with EDS difficulties that require the initiation of safeguarding discussions</w:t>
            </w:r>
          </w:p>
        </w:tc>
        <w:tc>
          <w:tcPr>
            <w:tcW w:w="3020" w:type="dxa"/>
            <w:vMerge w:val="restart"/>
            <w:vAlign w:val="center"/>
          </w:tcPr>
          <w:p w14:paraId="3AAD56F9"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c>
          <w:tcPr>
            <w:tcW w:w="3020" w:type="dxa"/>
            <w:vAlign w:val="center"/>
          </w:tcPr>
          <w:p w14:paraId="26EE56EA" w14:textId="77777777" w:rsidR="004B5207" w:rsidRDefault="004B5207" w:rsidP="003C06D7">
            <w:pPr>
              <w:spacing w:after="288"/>
              <w:ind w:right="5"/>
              <w:cnfStyle w:val="000000100000" w:firstRow="0" w:lastRow="0" w:firstColumn="0" w:lastColumn="0" w:oddVBand="0" w:evenVBand="0" w:oddHBand="1" w:evenHBand="0" w:firstRowFirstColumn="0" w:firstRowLastColumn="0" w:lastRowFirstColumn="0" w:lastRowLastColumn="0"/>
            </w:pPr>
          </w:p>
        </w:tc>
      </w:tr>
      <w:tr w:rsidR="004B5207" w14:paraId="4462620D" w14:textId="77777777" w:rsidTr="00263217">
        <w:trPr>
          <w:trHeight w:val="969"/>
        </w:trPr>
        <w:tc>
          <w:tcPr>
            <w:cnfStyle w:val="001000000000" w:firstRow="0" w:lastRow="0" w:firstColumn="1" w:lastColumn="0" w:oddVBand="0" w:evenVBand="0" w:oddHBand="0" w:evenHBand="0" w:firstRowFirstColumn="0" w:firstRowLastColumn="0" w:lastRowFirstColumn="0" w:lastRowLastColumn="0"/>
            <w:tcW w:w="3020" w:type="dxa"/>
            <w:vMerge/>
            <w:tcBorders>
              <w:left w:val="single" w:sz="4" w:space="0" w:color="000000" w:themeColor="text1"/>
              <w:bottom w:val="single" w:sz="4" w:space="0" w:color="5B9BD5" w:themeColor="accent5"/>
            </w:tcBorders>
            <w:vAlign w:val="center"/>
          </w:tcPr>
          <w:p w14:paraId="03BEF330" w14:textId="77777777" w:rsidR="004B5207" w:rsidRPr="003C06D7" w:rsidRDefault="004B5207" w:rsidP="003C06D7"/>
        </w:tc>
        <w:tc>
          <w:tcPr>
            <w:tcW w:w="3020" w:type="dxa"/>
            <w:vMerge/>
            <w:tcBorders>
              <w:bottom w:val="single" w:sz="4" w:space="0" w:color="5B9BD5" w:themeColor="accent5"/>
            </w:tcBorders>
            <w:vAlign w:val="center"/>
          </w:tcPr>
          <w:p w14:paraId="4F84277E"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c>
          <w:tcPr>
            <w:tcW w:w="3020" w:type="dxa"/>
            <w:tcBorders>
              <w:top w:val="single" w:sz="4" w:space="0" w:color="5B9BD5" w:themeColor="accent5"/>
              <w:bottom w:val="single" w:sz="4" w:space="0" w:color="5B9BD5" w:themeColor="accent5"/>
            </w:tcBorders>
            <w:vAlign w:val="center"/>
          </w:tcPr>
          <w:p w14:paraId="1BEBE950" w14:textId="77777777" w:rsidR="004B5207" w:rsidRDefault="004B5207" w:rsidP="003C06D7">
            <w:pPr>
              <w:spacing w:after="288"/>
              <w:ind w:right="5"/>
              <w:cnfStyle w:val="000000000000" w:firstRow="0" w:lastRow="0" w:firstColumn="0" w:lastColumn="0" w:oddVBand="0" w:evenVBand="0" w:oddHBand="0" w:evenHBand="0" w:firstRowFirstColumn="0" w:firstRowLastColumn="0" w:lastRowFirstColumn="0" w:lastRowLastColumn="0"/>
            </w:pPr>
          </w:p>
        </w:tc>
      </w:tr>
    </w:tbl>
    <w:p w14:paraId="7BE2EBE2" w14:textId="77777777" w:rsidR="00F05245" w:rsidRDefault="00F05245" w:rsidP="00967C45">
      <w:pPr>
        <w:spacing w:after="288"/>
        <w:ind w:left="-5" w:right="5"/>
      </w:pPr>
    </w:p>
    <w:p w14:paraId="56DB746F" w14:textId="77777777" w:rsidR="00967C45" w:rsidRDefault="00967C45" w:rsidP="00967C45">
      <w:pPr>
        <w:spacing w:after="0"/>
      </w:pPr>
      <w:r>
        <w:t xml:space="preserve"> </w:t>
      </w:r>
      <w:r>
        <w:tab/>
        <w:t xml:space="preserve"> </w:t>
      </w:r>
    </w:p>
    <w:p w14:paraId="11B0D0F4" w14:textId="77777777" w:rsidR="002E0892" w:rsidRDefault="002E0892"/>
    <w:p w14:paraId="7400A01B" w14:textId="77777777" w:rsidR="003C06D7" w:rsidRDefault="003C06D7">
      <w:pPr>
        <w:rPr>
          <w:rFonts w:ascii="Open Sans SemiBold" w:eastAsia="Open Sans" w:hAnsi="Open Sans SemiBold"/>
          <w:color w:val="102036"/>
          <w:sz w:val="36"/>
          <w:szCs w:val="36"/>
        </w:rPr>
      </w:pPr>
      <w:r>
        <w:br w:type="page"/>
      </w:r>
    </w:p>
    <w:p w14:paraId="427C110E" w14:textId="014FF898" w:rsidR="008D4936" w:rsidRDefault="008D4936" w:rsidP="00250BF0">
      <w:pPr>
        <w:pStyle w:val="Heading1"/>
      </w:pPr>
      <w:bookmarkStart w:id="65" w:name="_Toc203664693"/>
      <w:bookmarkStart w:id="66" w:name="_Toc207803412"/>
      <w:r>
        <w:lastRenderedPageBreak/>
        <w:t>Explanation of terms</w:t>
      </w:r>
      <w:bookmarkEnd w:id="65"/>
      <w:bookmarkEnd w:id="66"/>
      <w:r>
        <w:t xml:space="preserve"> </w:t>
      </w:r>
    </w:p>
    <w:p w14:paraId="2CA70FBE" w14:textId="510CD63F" w:rsidR="008D4936" w:rsidRDefault="008D4936" w:rsidP="008D4936">
      <w:pPr>
        <w:spacing w:after="139"/>
        <w:ind w:left="-5" w:right="5"/>
      </w:pPr>
      <w:r>
        <w:t xml:space="preserve">To ensure clarity, the RCSLT has provided an explanation of terms frequently used within this document: </w:t>
      </w:r>
    </w:p>
    <w:tbl>
      <w:tblPr>
        <w:tblStyle w:val="TableGrid0"/>
        <w:tblW w:w="9209" w:type="dxa"/>
        <w:tblLook w:val="04A0" w:firstRow="1" w:lastRow="0" w:firstColumn="1" w:lastColumn="0" w:noHBand="0" w:noVBand="1"/>
      </w:tblPr>
      <w:tblGrid>
        <w:gridCol w:w="2227"/>
        <w:gridCol w:w="6982"/>
      </w:tblGrid>
      <w:tr w:rsidR="008D4936" w14:paraId="6A55576E" w14:textId="77777777" w:rsidTr="008D4936">
        <w:trPr>
          <w:trHeight w:val="367"/>
        </w:trPr>
        <w:tc>
          <w:tcPr>
            <w:tcW w:w="2227" w:type="dxa"/>
          </w:tcPr>
          <w:p w14:paraId="2013B4B5" w14:textId="77777777" w:rsidR="008D4936" w:rsidRPr="002835AA" w:rsidRDefault="008D4936" w:rsidP="004C1699">
            <w:pPr>
              <w:spacing w:line="259" w:lineRule="auto"/>
              <w:rPr>
                <w:szCs w:val="16"/>
              </w:rPr>
            </w:pPr>
            <w:r w:rsidRPr="002835AA">
              <w:rPr>
                <w:b/>
                <w:szCs w:val="16"/>
              </w:rPr>
              <w:t xml:space="preserve">Carer </w:t>
            </w:r>
          </w:p>
        </w:tc>
        <w:tc>
          <w:tcPr>
            <w:tcW w:w="6982" w:type="dxa"/>
          </w:tcPr>
          <w:p w14:paraId="2F083E93" w14:textId="77777777" w:rsidR="008D4936" w:rsidRPr="002835AA" w:rsidRDefault="008D4936" w:rsidP="004C1699">
            <w:pPr>
              <w:spacing w:line="259" w:lineRule="auto"/>
              <w:rPr>
                <w:szCs w:val="16"/>
              </w:rPr>
            </w:pPr>
            <w:r w:rsidRPr="002835AA">
              <w:rPr>
                <w:szCs w:val="16"/>
              </w:rPr>
              <w:t xml:space="preserve">Refers to paid carers, volunteer carers or family members. </w:t>
            </w:r>
          </w:p>
        </w:tc>
      </w:tr>
      <w:tr w:rsidR="008D4936" w14:paraId="6AB49506" w14:textId="77777777" w:rsidTr="008D4936">
        <w:trPr>
          <w:trHeight w:val="818"/>
        </w:trPr>
        <w:tc>
          <w:tcPr>
            <w:tcW w:w="2227" w:type="dxa"/>
          </w:tcPr>
          <w:p w14:paraId="6708027B" w14:textId="77777777" w:rsidR="008D4936" w:rsidRPr="002835AA" w:rsidRDefault="008D4936" w:rsidP="004C1699">
            <w:pPr>
              <w:spacing w:line="259" w:lineRule="auto"/>
              <w:rPr>
                <w:szCs w:val="16"/>
              </w:rPr>
            </w:pPr>
            <w:r w:rsidRPr="002835AA">
              <w:rPr>
                <w:b/>
                <w:szCs w:val="16"/>
              </w:rPr>
              <w:t xml:space="preserve">Core capabilities </w:t>
            </w:r>
          </w:p>
        </w:tc>
        <w:tc>
          <w:tcPr>
            <w:tcW w:w="6982" w:type="dxa"/>
          </w:tcPr>
          <w:p w14:paraId="39541BA0" w14:textId="77777777" w:rsidR="008D4936" w:rsidRPr="002835AA" w:rsidRDefault="008D4936" w:rsidP="004C1699">
            <w:pPr>
              <w:spacing w:line="259" w:lineRule="auto"/>
              <w:rPr>
                <w:szCs w:val="16"/>
              </w:rPr>
            </w:pPr>
            <w:r w:rsidRPr="002835AA">
              <w:rPr>
                <w:szCs w:val="16"/>
              </w:rPr>
              <w:t>The five core areas that express the profession’s vision for the current and future capabilities, which are essential to the practice of every SLT.</w:t>
            </w:r>
            <w:r w:rsidRPr="002835AA">
              <w:rPr>
                <w:i/>
                <w:szCs w:val="16"/>
              </w:rPr>
              <w:t xml:space="preserve"> </w:t>
            </w:r>
          </w:p>
        </w:tc>
      </w:tr>
      <w:tr w:rsidR="008D4936" w14:paraId="0B281CB7" w14:textId="77777777" w:rsidTr="008D4936">
        <w:trPr>
          <w:trHeight w:val="1436"/>
        </w:trPr>
        <w:tc>
          <w:tcPr>
            <w:tcW w:w="2227" w:type="dxa"/>
          </w:tcPr>
          <w:p w14:paraId="2CC60775" w14:textId="77777777" w:rsidR="008D4936" w:rsidRPr="002835AA" w:rsidRDefault="008D4936" w:rsidP="004C1699">
            <w:pPr>
              <w:spacing w:line="259" w:lineRule="auto"/>
              <w:rPr>
                <w:szCs w:val="16"/>
              </w:rPr>
            </w:pPr>
            <w:r w:rsidRPr="002835AA">
              <w:rPr>
                <w:b/>
                <w:szCs w:val="16"/>
              </w:rPr>
              <w:t xml:space="preserve">Competency </w:t>
            </w:r>
          </w:p>
        </w:tc>
        <w:tc>
          <w:tcPr>
            <w:tcW w:w="6982" w:type="dxa"/>
          </w:tcPr>
          <w:p w14:paraId="4418EC25" w14:textId="77777777" w:rsidR="008D4936" w:rsidRPr="002835AA" w:rsidRDefault="008D4936" w:rsidP="004C1699">
            <w:pPr>
              <w:spacing w:line="259" w:lineRule="auto"/>
              <w:rPr>
                <w:szCs w:val="16"/>
              </w:rPr>
            </w:pPr>
            <w:r w:rsidRPr="002835AA">
              <w:rPr>
                <w:szCs w:val="16"/>
              </w:rPr>
              <w:t>A professional competency can be described as an integration of knowledge, understanding, and subject-specific skills and abilities that are used by a person to function according to the demands that are put upon them in the specific speech and language therapy context.</w:t>
            </w:r>
            <w:r w:rsidRPr="002835AA">
              <w:rPr>
                <w:i/>
                <w:szCs w:val="16"/>
              </w:rPr>
              <w:t xml:space="preserve"> </w:t>
            </w:r>
          </w:p>
        </w:tc>
      </w:tr>
      <w:tr w:rsidR="008D4936" w14:paraId="6D1F05A3" w14:textId="77777777" w:rsidTr="008D4936">
        <w:trPr>
          <w:trHeight w:val="1128"/>
        </w:trPr>
        <w:tc>
          <w:tcPr>
            <w:tcW w:w="2227" w:type="dxa"/>
          </w:tcPr>
          <w:p w14:paraId="1CE240B8" w14:textId="77777777" w:rsidR="008D4936" w:rsidRPr="002835AA" w:rsidRDefault="008D4936" w:rsidP="004C1699">
            <w:pPr>
              <w:spacing w:line="259" w:lineRule="auto"/>
              <w:rPr>
                <w:szCs w:val="16"/>
              </w:rPr>
            </w:pPr>
            <w:r w:rsidRPr="002835AA">
              <w:rPr>
                <w:b/>
                <w:szCs w:val="16"/>
              </w:rPr>
              <w:t xml:space="preserve">Cultural humility </w:t>
            </w:r>
          </w:p>
        </w:tc>
        <w:tc>
          <w:tcPr>
            <w:tcW w:w="6982" w:type="dxa"/>
          </w:tcPr>
          <w:p w14:paraId="2ED99B13" w14:textId="77777777" w:rsidR="008D4936" w:rsidRPr="002835AA" w:rsidRDefault="008D4936" w:rsidP="004C1699">
            <w:pPr>
              <w:spacing w:line="259" w:lineRule="auto"/>
              <w:rPr>
                <w:szCs w:val="16"/>
              </w:rPr>
            </w:pPr>
            <w:r w:rsidRPr="002835AA">
              <w:rPr>
                <w:szCs w:val="16"/>
              </w:rPr>
              <w:t>A lifelong process of self-reflection and self-critique whereby the individual not only learns about another's culture, but one starts with an examination of her/his own beliefs and cultural</w:t>
            </w:r>
            <w:r w:rsidRPr="002835AA">
              <w:rPr>
                <w:b/>
                <w:szCs w:val="16"/>
              </w:rPr>
              <w:t xml:space="preserve"> </w:t>
            </w:r>
            <w:r w:rsidRPr="002835AA">
              <w:rPr>
                <w:szCs w:val="16"/>
              </w:rPr>
              <w:t xml:space="preserve">identities. </w:t>
            </w:r>
          </w:p>
        </w:tc>
      </w:tr>
      <w:tr w:rsidR="008D4936" w14:paraId="6FC3EC00" w14:textId="77777777" w:rsidTr="008D4936">
        <w:trPr>
          <w:trHeight w:val="1742"/>
        </w:trPr>
        <w:tc>
          <w:tcPr>
            <w:tcW w:w="2227" w:type="dxa"/>
          </w:tcPr>
          <w:p w14:paraId="5A2820F8" w14:textId="77777777" w:rsidR="008D4936" w:rsidRPr="002835AA" w:rsidRDefault="008D4936" w:rsidP="004C1699">
            <w:pPr>
              <w:spacing w:line="259" w:lineRule="auto"/>
              <w:rPr>
                <w:szCs w:val="16"/>
              </w:rPr>
            </w:pPr>
            <w:r w:rsidRPr="002835AA">
              <w:rPr>
                <w:b/>
                <w:szCs w:val="16"/>
              </w:rPr>
              <w:t xml:space="preserve">Learner </w:t>
            </w:r>
          </w:p>
        </w:tc>
        <w:tc>
          <w:tcPr>
            <w:tcW w:w="6982" w:type="dxa"/>
          </w:tcPr>
          <w:p w14:paraId="5085B35E" w14:textId="77777777" w:rsidR="008D4936" w:rsidRPr="002835AA" w:rsidRDefault="008D4936" w:rsidP="004C1699">
            <w:pPr>
              <w:spacing w:after="16" w:line="259" w:lineRule="auto"/>
              <w:jc w:val="both"/>
              <w:rPr>
                <w:szCs w:val="16"/>
              </w:rPr>
            </w:pPr>
            <w:r w:rsidRPr="002835AA">
              <w:rPr>
                <w:szCs w:val="16"/>
              </w:rPr>
              <w:t xml:space="preserve">This document uses the term ‘student’ minimally. The preferred term is </w:t>
            </w:r>
          </w:p>
          <w:p w14:paraId="343EFEDB" w14:textId="77777777" w:rsidR="008D4936" w:rsidRPr="002835AA" w:rsidRDefault="008D4936" w:rsidP="004C1699">
            <w:pPr>
              <w:spacing w:line="259" w:lineRule="auto"/>
              <w:rPr>
                <w:szCs w:val="16"/>
              </w:rPr>
            </w:pPr>
            <w:r w:rsidRPr="002835AA">
              <w:rPr>
                <w:szCs w:val="16"/>
              </w:rPr>
              <w:t xml:space="preserve">‘learner’, as this is used by the Health and Care Professions Council (HCPC). It allows for greater flexibility when describing learners in different entry routes into the profession (e.g. apprenticeships). The term ‘learner’ also fits with the concept of lifelong learning. </w:t>
            </w:r>
          </w:p>
        </w:tc>
      </w:tr>
      <w:tr w:rsidR="008D4936" w14:paraId="6B3413FE" w14:textId="77777777" w:rsidTr="008D4936">
        <w:trPr>
          <w:trHeight w:val="1436"/>
        </w:trPr>
        <w:tc>
          <w:tcPr>
            <w:tcW w:w="2227" w:type="dxa"/>
          </w:tcPr>
          <w:p w14:paraId="4A41B10A" w14:textId="77777777" w:rsidR="008D4936" w:rsidRPr="002835AA" w:rsidRDefault="008D4936" w:rsidP="004C1699">
            <w:pPr>
              <w:spacing w:line="259" w:lineRule="auto"/>
              <w:rPr>
                <w:szCs w:val="16"/>
              </w:rPr>
            </w:pPr>
            <w:r w:rsidRPr="002835AA">
              <w:rPr>
                <w:b/>
                <w:szCs w:val="16"/>
              </w:rPr>
              <w:t xml:space="preserve">Mutual recognition agreement </w:t>
            </w:r>
          </w:p>
        </w:tc>
        <w:tc>
          <w:tcPr>
            <w:tcW w:w="6982" w:type="dxa"/>
          </w:tcPr>
          <w:p w14:paraId="55319BD5" w14:textId="77777777" w:rsidR="008D4936" w:rsidRPr="002835AA" w:rsidRDefault="008D4936" w:rsidP="004C1699">
            <w:pPr>
              <w:spacing w:line="259" w:lineRule="auto"/>
              <w:rPr>
                <w:szCs w:val="16"/>
              </w:rPr>
            </w:pPr>
            <w:r w:rsidRPr="002835AA">
              <w:rPr>
                <w:szCs w:val="16"/>
              </w:rPr>
              <w:t xml:space="preserve">An international agreement by which two or more countries agree to recognise one another's conformity assessments, such as equivalency of education and professional regulation standards, to enable easier transition for SLTs wishing to practise abroad. </w:t>
            </w:r>
          </w:p>
        </w:tc>
      </w:tr>
      <w:tr w:rsidR="008D4936" w14:paraId="5E434FF4" w14:textId="77777777" w:rsidTr="008D4936">
        <w:trPr>
          <w:trHeight w:val="2054"/>
        </w:trPr>
        <w:tc>
          <w:tcPr>
            <w:tcW w:w="2227" w:type="dxa"/>
          </w:tcPr>
          <w:p w14:paraId="47EFDA67" w14:textId="77777777" w:rsidR="008D4936" w:rsidRPr="002835AA" w:rsidRDefault="008D4936" w:rsidP="004C1699">
            <w:pPr>
              <w:spacing w:line="259" w:lineRule="auto"/>
              <w:rPr>
                <w:szCs w:val="16"/>
              </w:rPr>
            </w:pPr>
            <w:proofErr w:type="gramStart"/>
            <w:r w:rsidRPr="002835AA">
              <w:rPr>
                <w:b/>
                <w:szCs w:val="16"/>
              </w:rPr>
              <w:t>Usually</w:t>
            </w:r>
            <w:proofErr w:type="gramEnd"/>
            <w:r w:rsidRPr="002835AA">
              <w:rPr>
                <w:b/>
                <w:szCs w:val="16"/>
              </w:rPr>
              <w:t xml:space="preserve"> </w:t>
            </w:r>
          </w:p>
        </w:tc>
        <w:tc>
          <w:tcPr>
            <w:tcW w:w="6982" w:type="dxa"/>
          </w:tcPr>
          <w:p w14:paraId="579A873F" w14:textId="77777777" w:rsidR="008D4936" w:rsidRPr="002835AA" w:rsidRDefault="008D4936" w:rsidP="004C1699">
            <w:pPr>
              <w:spacing w:line="259" w:lineRule="auto"/>
              <w:rPr>
                <w:szCs w:val="16"/>
              </w:rPr>
            </w:pPr>
            <w:r w:rsidRPr="002835AA">
              <w:rPr>
                <w:szCs w:val="16"/>
              </w:rPr>
              <w:t xml:space="preserve">This pertains to the RCSLT best practice or preferred position. It is appreciated that there may be factors beyond the programme provider’s control that prevent the following of the guidance. If this were the case, the RCSLT would seek explanation regarding the alternative strategies implemented by the higher education institution (HEI) to meet the accreditation requirements. </w:t>
            </w:r>
          </w:p>
        </w:tc>
      </w:tr>
      <w:tr w:rsidR="008D4936" w14:paraId="2AD1189F" w14:textId="77777777" w:rsidTr="008D4936">
        <w:trPr>
          <w:trHeight w:val="1436"/>
        </w:trPr>
        <w:tc>
          <w:tcPr>
            <w:tcW w:w="2227" w:type="dxa"/>
          </w:tcPr>
          <w:p w14:paraId="575F3C33" w14:textId="77777777" w:rsidR="008D4936" w:rsidRPr="002835AA" w:rsidRDefault="008D4936" w:rsidP="004C1699">
            <w:pPr>
              <w:spacing w:line="259" w:lineRule="auto"/>
              <w:rPr>
                <w:szCs w:val="16"/>
              </w:rPr>
            </w:pPr>
            <w:r w:rsidRPr="002835AA">
              <w:rPr>
                <w:b/>
                <w:szCs w:val="16"/>
              </w:rPr>
              <w:t xml:space="preserve">Practice placement </w:t>
            </w:r>
          </w:p>
        </w:tc>
        <w:tc>
          <w:tcPr>
            <w:tcW w:w="6982" w:type="dxa"/>
          </w:tcPr>
          <w:p w14:paraId="7B955454" w14:textId="77777777" w:rsidR="008D4936" w:rsidRPr="002835AA" w:rsidRDefault="008D4936" w:rsidP="004C1699">
            <w:pPr>
              <w:spacing w:line="259" w:lineRule="auto"/>
              <w:rPr>
                <w:szCs w:val="16"/>
              </w:rPr>
            </w:pPr>
            <w:r w:rsidRPr="002835AA">
              <w:rPr>
                <w:szCs w:val="16"/>
              </w:rPr>
              <w:t xml:space="preserve">The period(s) of study undertaken by learners as a formal element of their speech and language therapy pre-registration training, based within a working environment (including HEI-based clinics, as well as those outside the academic institution). </w:t>
            </w:r>
          </w:p>
        </w:tc>
      </w:tr>
      <w:tr w:rsidR="008D4936" w14:paraId="40B82568" w14:textId="77777777" w:rsidTr="008D4936">
        <w:trPr>
          <w:trHeight w:val="676"/>
        </w:trPr>
        <w:tc>
          <w:tcPr>
            <w:tcW w:w="2227" w:type="dxa"/>
          </w:tcPr>
          <w:p w14:paraId="32AA5A36" w14:textId="77777777" w:rsidR="008D4936" w:rsidRPr="002835AA" w:rsidRDefault="008D4936" w:rsidP="004C1699">
            <w:pPr>
              <w:spacing w:line="259" w:lineRule="auto"/>
              <w:rPr>
                <w:szCs w:val="16"/>
              </w:rPr>
            </w:pPr>
            <w:r w:rsidRPr="002835AA">
              <w:rPr>
                <w:b/>
                <w:szCs w:val="16"/>
              </w:rPr>
              <w:lastRenderedPageBreak/>
              <w:t xml:space="preserve">Practice educator </w:t>
            </w:r>
          </w:p>
        </w:tc>
        <w:tc>
          <w:tcPr>
            <w:tcW w:w="6982" w:type="dxa"/>
          </w:tcPr>
          <w:p w14:paraId="441430AC" w14:textId="77777777" w:rsidR="008D4936" w:rsidRPr="002835AA" w:rsidRDefault="008D4936" w:rsidP="004C1699">
            <w:pPr>
              <w:spacing w:line="259" w:lineRule="auto"/>
              <w:rPr>
                <w:szCs w:val="16"/>
              </w:rPr>
            </w:pPr>
            <w:r w:rsidRPr="002835AA">
              <w:rPr>
                <w:szCs w:val="16"/>
              </w:rPr>
              <w:t>A registered SLT with overall responsibility for facilitating the education of the learner SLT while they are on practice placement.</w:t>
            </w:r>
          </w:p>
          <w:p w14:paraId="2BD022DE" w14:textId="77777777" w:rsidR="008D4936" w:rsidRPr="002835AA" w:rsidRDefault="008D4936" w:rsidP="004C1699">
            <w:pPr>
              <w:spacing w:line="259" w:lineRule="auto"/>
              <w:rPr>
                <w:szCs w:val="16"/>
              </w:rPr>
            </w:pPr>
          </w:p>
          <w:p w14:paraId="05EED9F4" w14:textId="77777777" w:rsidR="00805CBD" w:rsidRPr="002835AA" w:rsidRDefault="008D4936" w:rsidP="00805CBD">
            <w:pPr>
              <w:spacing w:after="1" w:line="275" w:lineRule="auto"/>
              <w:ind w:right="218"/>
              <w:rPr>
                <w:szCs w:val="16"/>
              </w:rPr>
            </w:pPr>
            <w:r w:rsidRPr="002835AA">
              <w:rPr>
                <w:szCs w:val="16"/>
              </w:rPr>
              <w:t>The term ‘practice educator’ is applied in varying ways by each health</w:t>
            </w:r>
            <w:r w:rsidR="00805CBD" w:rsidRPr="002835AA">
              <w:rPr>
                <w:szCs w:val="16"/>
              </w:rPr>
              <w:t xml:space="preserve"> and care profession. However, while its application may vary at local level, </w:t>
            </w:r>
            <w:proofErr w:type="gramStart"/>
            <w:r w:rsidR="00805CBD" w:rsidRPr="002835AA">
              <w:rPr>
                <w:szCs w:val="16"/>
              </w:rPr>
              <w:t>with regard to</w:t>
            </w:r>
            <w:proofErr w:type="gramEnd"/>
            <w:r w:rsidR="00805CBD" w:rsidRPr="002835AA">
              <w:rPr>
                <w:szCs w:val="16"/>
              </w:rPr>
              <w:t xml:space="preserve"> this document all parties recognise the following statement to be true: </w:t>
            </w:r>
          </w:p>
          <w:p w14:paraId="372C22C8" w14:textId="77777777" w:rsidR="00805CBD" w:rsidRPr="002835AA" w:rsidRDefault="00805CBD" w:rsidP="00805CBD">
            <w:pPr>
              <w:spacing w:after="16" w:line="259" w:lineRule="auto"/>
              <w:rPr>
                <w:szCs w:val="16"/>
              </w:rPr>
            </w:pPr>
            <w:r w:rsidRPr="002835AA">
              <w:rPr>
                <w:szCs w:val="16"/>
              </w:rPr>
              <w:t xml:space="preserve"> </w:t>
            </w:r>
          </w:p>
          <w:p w14:paraId="337890D8" w14:textId="77777777" w:rsidR="00713417" w:rsidRPr="002835AA" w:rsidRDefault="00805CBD" w:rsidP="00805CBD">
            <w:pPr>
              <w:spacing w:after="1" w:line="275" w:lineRule="auto"/>
              <w:ind w:right="403"/>
              <w:rPr>
                <w:szCs w:val="16"/>
              </w:rPr>
            </w:pPr>
            <w:r w:rsidRPr="002835AA">
              <w:rPr>
                <w:szCs w:val="16"/>
              </w:rPr>
              <w:t xml:space="preserve">A practice educator is a registered SLT who supports learners in the workplace. They facilitate practice-based learning alongside clinical and academic colleagues. In addition, the practice educator is likely to hold responsibility for signing off competency and assessment criteria, based upon the standards produced by the education provider and relevant professional body, although it is recognised that local models of delivery and assessment will apply. </w:t>
            </w:r>
          </w:p>
          <w:p w14:paraId="454626DE" w14:textId="77777777" w:rsidR="00713417" w:rsidRPr="002835AA" w:rsidRDefault="00713417" w:rsidP="00805CBD">
            <w:pPr>
              <w:spacing w:after="1" w:line="275" w:lineRule="auto"/>
              <w:ind w:right="403"/>
              <w:rPr>
                <w:szCs w:val="16"/>
              </w:rPr>
            </w:pPr>
          </w:p>
          <w:p w14:paraId="2F02CDB6" w14:textId="6CA99FD4" w:rsidR="008D4936" w:rsidRPr="002835AA" w:rsidRDefault="00713417" w:rsidP="00713417">
            <w:pPr>
              <w:spacing w:after="200" w:line="275" w:lineRule="auto"/>
              <w:ind w:right="338"/>
              <w:rPr>
                <w:szCs w:val="16"/>
              </w:rPr>
            </w:pPr>
            <w:r w:rsidRPr="002835AA">
              <w:rPr>
                <w:szCs w:val="16"/>
              </w:rPr>
              <w:t xml:space="preserve">Generally, it is the practice educator who holds responsibility for ensuring that the contributing elements of a practice placement cover all relevant learning outcomes necessary for the learner. </w:t>
            </w:r>
            <w:r w:rsidR="008D4936" w:rsidRPr="002835AA">
              <w:rPr>
                <w:szCs w:val="16"/>
              </w:rPr>
              <w:t xml:space="preserve"> </w:t>
            </w:r>
          </w:p>
          <w:p w14:paraId="4C53AA46" w14:textId="1EEE3903" w:rsidR="008D4936" w:rsidRPr="002835AA" w:rsidRDefault="008D4936" w:rsidP="004C1699">
            <w:pPr>
              <w:spacing w:line="259" w:lineRule="auto"/>
              <w:rPr>
                <w:szCs w:val="16"/>
              </w:rPr>
            </w:pPr>
          </w:p>
        </w:tc>
      </w:tr>
      <w:tr w:rsidR="00713417" w14:paraId="291754FD" w14:textId="77777777" w:rsidTr="008D4936">
        <w:trPr>
          <w:trHeight w:val="676"/>
        </w:trPr>
        <w:tc>
          <w:tcPr>
            <w:tcW w:w="2227" w:type="dxa"/>
          </w:tcPr>
          <w:p w14:paraId="0BC48802" w14:textId="1B6CBEF8" w:rsidR="00713417" w:rsidRPr="002835AA" w:rsidRDefault="004D4614" w:rsidP="004C1699">
            <w:pPr>
              <w:rPr>
                <w:b/>
                <w:szCs w:val="16"/>
              </w:rPr>
            </w:pPr>
            <w:r w:rsidRPr="002835AA">
              <w:rPr>
                <w:b/>
                <w:szCs w:val="16"/>
              </w:rPr>
              <w:t>Services</w:t>
            </w:r>
          </w:p>
        </w:tc>
        <w:tc>
          <w:tcPr>
            <w:tcW w:w="6982" w:type="dxa"/>
          </w:tcPr>
          <w:p w14:paraId="0DA25EB1" w14:textId="41F21A9A" w:rsidR="00713417" w:rsidRPr="002835AA" w:rsidRDefault="004B7083" w:rsidP="004B7083">
            <w:pPr>
              <w:spacing w:after="199" w:line="276" w:lineRule="auto"/>
              <w:rPr>
                <w:szCs w:val="16"/>
              </w:rPr>
            </w:pPr>
            <w:r w:rsidRPr="002835AA">
              <w:rPr>
                <w:szCs w:val="16"/>
              </w:rPr>
              <w:t xml:space="preserve">Any relationship between clinician and service user that draws on the knowledge and skills of the registered SLT. It includes those working in independent practice, in academic roles and in management roles. </w:t>
            </w:r>
          </w:p>
        </w:tc>
      </w:tr>
      <w:tr w:rsidR="00713417" w14:paraId="00C2A92A" w14:textId="77777777" w:rsidTr="002835AA">
        <w:trPr>
          <w:trHeight w:val="2222"/>
        </w:trPr>
        <w:tc>
          <w:tcPr>
            <w:tcW w:w="2227" w:type="dxa"/>
          </w:tcPr>
          <w:p w14:paraId="74170817" w14:textId="7CC8CFD1" w:rsidR="00713417" w:rsidRPr="002835AA" w:rsidRDefault="004D4614" w:rsidP="004C1699">
            <w:pPr>
              <w:rPr>
                <w:b/>
                <w:szCs w:val="16"/>
              </w:rPr>
            </w:pPr>
            <w:r w:rsidRPr="002835AA">
              <w:rPr>
                <w:b/>
                <w:szCs w:val="16"/>
              </w:rPr>
              <w:t>Service user</w:t>
            </w:r>
          </w:p>
        </w:tc>
        <w:tc>
          <w:tcPr>
            <w:tcW w:w="6982" w:type="dxa"/>
          </w:tcPr>
          <w:p w14:paraId="329E5F81" w14:textId="31705FF7" w:rsidR="00713417" w:rsidRPr="002835AA" w:rsidRDefault="002835AA" w:rsidP="002835AA">
            <w:pPr>
              <w:spacing w:after="1134" w:line="275" w:lineRule="auto"/>
              <w:ind w:right="180"/>
              <w:rPr>
                <w:szCs w:val="16"/>
              </w:rPr>
            </w:pPr>
            <w:r w:rsidRPr="002835AA">
              <w:rPr>
                <w:szCs w:val="16"/>
              </w:rPr>
              <w:t>A broad term to refer to those who use the services of SLTs (directly or indirectly). This term may also include the family of the service user in some contexts. Different settings use different terms to indicate the service user, e.g. in schools, the service user is usually known as ‘the child’; in hospitals, it is usually ‘the patient’; and, in some settings, ‘the client’.</w:t>
            </w:r>
          </w:p>
        </w:tc>
      </w:tr>
    </w:tbl>
    <w:p w14:paraId="551916AF" w14:textId="54436729" w:rsidR="00F05245" w:rsidRDefault="00F05245" w:rsidP="00250BF0">
      <w:pPr>
        <w:pStyle w:val="Heading1"/>
      </w:pPr>
      <w:bookmarkStart w:id="67" w:name="_Toc203664694"/>
      <w:bookmarkStart w:id="68" w:name="_Toc207803413"/>
      <w:r>
        <w:t>Abbreviations and acronyms</w:t>
      </w:r>
      <w:bookmarkEnd w:id="67"/>
      <w:bookmarkEnd w:id="68"/>
      <w:r>
        <w:t xml:space="preserve"> </w:t>
      </w:r>
    </w:p>
    <w:tbl>
      <w:tblPr>
        <w:tblStyle w:val="TableGrid0"/>
        <w:tblW w:w="8050" w:type="dxa"/>
        <w:tblLook w:val="04A0" w:firstRow="1" w:lastRow="0" w:firstColumn="1" w:lastColumn="0" w:noHBand="0" w:noVBand="1"/>
      </w:tblPr>
      <w:tblGrid>
        <w:gridCol w:w="1440"/>
        <w:gridCol w:w="6610"/>
      </w:tblGrid>
      <w:tr w:rsidR="00F05245" w14:paraId="0922D957" w14:textId="77777777" w:rsidTr="00F05245">
        <w:trPr>
          <w:trHeight w:val="431"/>
        </w:trPr>
        <w:tc>
          <w:tcPr>
            <w:tcW w:w="1440" w:type="dxa"/>
          </w:tcPr>
          <w:p w14:paraId="3E8816BC" w14:textId="77777777" w:rsidR="00F05245" w:rsidRDefault="00F05245" w:rsidP="004C1699">
            <w:pPr>
              <w:tabs>
                <w:tab w:val="center" w:pos="720"/>
              </w:tabs>
              <w:spacing w:line="259" w:lineRule="auto"/>
            </w:pPr>
            <w:r>
              <w:rPr>
                <w:b/>
              </w:rPr>
              <w:t xml:space="preserve">CPD </w:t>
            </w:r>
            <w:r>
              <w:rPr>
                <w:b/>
              </w:rPr>
              <w:tab/>
            </w:r>
            <w:r>
              <w:t xml:space="preserve"> </w:t>
            </w:r>
          </w:p>
        </w:tc>
        <w:tc>
          <w:tcPr>
            <w:tcW w:w="6610" w:type="dxa"/>
          </w:tcPr>
          <w:p w14:paraId="05DCF800" w14:textId="77777777" w:rsidR="00F05245" w:rsidRDefault="00F05245" w:rsidP="004C1699">
            <w:pPr>
              <w:spacing w:line="259" w:lineRule="auto"/>
            </w:pPr>
            <w:r>
              <w:t xml:space="preserve">Continuing professional development </w:t>
            </w:r>
          </w:p>
        </w:tc>
      </w:tr>
      <w:tr w:rsidR="00F05245" w14:paraId="02867A80" w14:textId="77777777" w:rsidTr="00F05245">
        <w:trPr>
          <w:trHeight w:val="617"/>
        </w:trPr>
        <w:tc>
          <w:tcPr>
            <w:tcW w:w="1440" w:type="dxa"/>
          </w:tcPr>
          <w:p w14:paraId="18F8A112" w14:textId="77777777" w:rsidR="00F05245" w:rsidRDefault="00F05245" w:rsidP="004C1699">
            <w:pPr>
              <w:tabs>
                <w:tab w:val="center" w:pos="720"/>
              </w:tabs>
              <w:spacing w:line="259" w:lineRule="auto"/>
            </w:pPr>
            <w:r>
              <w:rPr>
                <w:b/>
              </w:rPr>
              <w:lastRenderedPageBreak/>
              <w:t>EDS</w:t>
            </w:r>
            <w:r>
              <w:t xml:space="preserve"> </w:t>
            </w:r>
            <w:r>
              <w:tab/>
              <w:t xml:space="preserve"> </w:t>
            </w:r>
          </w:p>
        </w:tc>
        <w:tc>
          <w:tcPr>
            <w:tcW w:w="6610" w:type="dxa"/>
          </w:tcPr>
          <w:p w14:paraId="1547E770" w14:textId="77777777" w:rsidR="00F05245" w:rsidRDefault="00F05245" w:rsidP="004C1699">
            <w:pPr>
              <w:spacing w:line="259" w:lineRule="auto"/>
            </w:pPr>
            <w:r>
              <w:t xml:space="preserve">Eating, drinking, and swallowing </w:t>
            </w:r>
          </w:p>
        </w:tc>
      </w:tr>
      <w:tr w:rsidR="00F05245" w14:paraId="35ECFABD" w14:textId="77777777" w:rsidTr="00F05245">
        <w:trPr>
          <w:trHeight w:val="617"/>
        </w:trPr>
        <w:tc>
          <w:tcPr>
            <w:tcW w:w="1440" w:type="dxa"/>
          </w:tcPr>
          <w:p w14:paraId="7C16268F" w14:textId="77777777" w:rsidR="00F05245" w:rsidRDefault="00F05245" w:rsidP="004C1699">
            <w:pPr>
              <w:tabs>
                <w:tab w:val="center" w:pos="720"/>
              </w:tabs>
              <w:spacing w:line="259" w:lineRule="auto"/>
            </w:pPr>
            <w:r>
              <w:rPr>
                <w:b/>
              </w:rPr>
              <w:t xml:space="preserve">HEE </w:t>
            </w:r>
            <w:r>
              <w:rPr>
                <w:b/>
              </w:rPr>
              <w:tab/>
            </w:r>
            <w:r>
              <w:t xml:space="preserve"> </w:t>
            </w:r>
          </w:p>
        </w:tc>
        <w:tc>
          <w:tcPr>
            <w:tcW w:w="6610" w:type="dxa"/>
          </w:tcPr>
          <w:p w14:paraId="78D246A4" w14:textId="77777777" w:rsidR="00F05245" w:rsidRDefault="00F05245" w:rsidP="004C1699">
            <w:pPr>
              <w:spacing w:line="259" w:lineRule="auto"/>
            </w:pPr>
            <w:r>
              <w:t xml:space="preserve">Health Education England </w:t>
            </w:r>
          </w:p>
        </w:tc>
      </w:tr>
      <w:tr w:rsidR="00F05245" w14:paraId="1D4B7B57" w14:textId="77777777" w:rsidTr="00F05245">
        <w:trPr>
          <w:trHeight w:val="618"/>
        </w:trPr>
        <w:tc>
          <w:tcPr>
            <w:tcW w:w="1440" w:type="dxa"/>
          </w:tcPr>
          <w:p w14:paraId="5F5BF38F" w14:textId="77777777" w:rsidR="00F05245" w:rsidRDefault="00F05245" w:rsidP="004C1699">
            <w:pPr>
              <w:tabs>
                <w:tab w:val="center" w:pos="720"/>
              </w:tabs>
              <w:spacing w:line="259" w:lineRule="auto"/>
            </w:pPr>
            <w:r>
              <w:rPr>
                <w:b/>
              </w:rPr>
              <w:t>HEI</w:t>
            </w:r>
            <w:r>
              <w:t xml:space="preserve"> </w:t>
            </w:r>
            <w:r>
              <w:tab/>
              <w:t xml:space="preserve"> </w:t>
            </w:r>
          </w:p>
        </w:tc>
        <w:tc>
          <w:tcPr>
            <w:tcW w:w="6610" w:type="dxa"/>
          </w:tcPr>
          <w:p w14:paraId="659B990D" w14:textId="77777777" w:rsidR="00F05245" w:rsidRDefault="00F05245" w:rsidP="004C1699">
            <w:pPr>
              <w:spacing w:line="259" w:lineRule="auto"/>
            </w:pPr>
            <w:r>
              <w:t xml:space="preserve">Higher education institution </w:t>
            </w:r>
          </w:p>
        </w:tc>
      </w:tr>
      <w:tr w:rsidR="00F05245" w14:paraId="651A693D" w14:textId="77777777" w:rsidTr="00F05245">
        <w:trPr>
          <w:trHeight w:val="618"/>
        </w:trPr>
        <w:tc>
          <w:tcPr>
            <w:tcW w:w="1440" w:type="dxa"/>
          </w:tcPr>
          <w:p w14:paraId="73C7767E" w14:textId="77777777" w:rsidR="00F05245" w:rsidRDefault="00F05245" w:rsidP="004C1699">
            <w:pPr>
              <w:spacing w:line="259" w:lineRule="auto"/>
            </w:pPr>
            <w:r>
              <w:rPr>
                <w:b/>
              </w:rPr>
              <w:t>HCPC</w:t>
            </w:r>
            <w:r>
              <w:t xml:space="preserve">  </w:t>
            </w:r>
          </w:p>
        </w:tc>
        <w:tc>
          <w:tcPr>
            <w:tcW w:w="6610" w:type="dxa"/>
          </w:tcPr>
          <w:p w14:paraId="4619C153" w14:textId="77777777" w:rsidR="00F05245" w:rsidRDefault="00F05245" w:rsidP="004C1699">
            <w:pPr>
              <w:spacing w:line="259" w:lineRule="auto"/>
            </w:pPr>
            <w:r>
              <w:t xml:space="preserve">Health and Care Professions Council </w:t>
            </w:r>
          </w:p>
        </w:tc>
      </w:tr>
      <w:tr w:rsidR="00F05245" w14:paraId="1E7314A5" w14:textId="77777777" w:rsidTr="00F05245">
        <w:trPr>
          <w:trHeight w:val="617"/>
        </w:trPr>
        <w:tc>
          <w:tcPr>
            <w:tcW w:w="1440" w:type="dxa"/>
          </w:tcPr>
          <w:p w14:paraId="41442C11" w14:textId="77777777" w:rsidR="00F05245" w:rsidRDefault="00F05245" w:rsidP="004C1699">
            <w:pPr>
              <w:tabs>
                <w:tab w:val="center" w:pos="720"/>
              </w:tabs>
              <w:spacing w:line="259" w:lineRule="auto"/>
            </w:pPr>
            <w:r>
              <w:rPr>
                <w:b/>
              </w:rPr>
              <w:t xml:space="preserve">MDT </w:t>
            </w:r>
            <w:r>
              <w:rPr>
                <w:b/>
              </w:rPr>
              <w:tab/>
              <w:t xml:space="preserve"> </w:t>
            </w:r>
          </w:p>
        </w:tc>
        <w:tc>
          <w:tcPr>
            <w:tcW w:w="6610" w:type="dxa"/>
          </w:tcPr>
          <w:p w14:paraId="6F5B5905" w14:textId="77777777" w:rsidR="00F05245" w:rsidRDefault="00F05245" w:rsidP="004C1699">
            <w:pPr>
              <w:spacing w:line="259" w:lineRule="auto"/>
            </w:pPr>
            <w:r>
              <w:t xml:space="preserve">Multi-disciplinary team </w:t>
            </w:r>
          </w:p>
        </w:tc>
      </w:tr>
      <w:tr w:rsidR="00F05245" w14:paraId="5579FBAF" w14:textId="77777777" w:rsidTr="00F05245">
        <w:trPr>
          <w:trHeight w:val="617"/>
        </w:trPr>
        <w:tc>
          <w:tcPr>
            <w:tcW w:w="1440" w:type="dxa"/>
          </w:tcPr>
          <w:p w14:paraId="3FEBD323" w14:textId="77777777" w:rsidR="00F05245" w:rsidRDefault="00F05245" w:rsidP="004C1699">
            <w:pPr>
              <w:tabs>
                <w:tab w:val="center" w:pos="720"/>
              </w:tabs>
              <w:spacing w:line="259" w:lineRule="auto"/>
            </w:pPr>
            <w:r>
              <w:rPr>
                <w:b/>
              </w:rPr>
              <w:t>NHS</w:t>
            </w:r>
            <w:r>
              <w:t xml:space="preserve"> </w:t>
            </w:r>
            <w:r>
              <w:tab/>
              <w:t xml:space="preserve"> </w:t>
            </w:r>
          </w:p>
        </w:tc>
        <w:tc>
          <w:tcPr>
            <w:tcW w:w="6610" w:type="dxa"/>
          </w:tcPr>
          <w:p w14:paraId="550FAD58" w14:textId="77777777" w:rsidR="00F05245" w:rsidRDefault="00F05245" w:rsidP="004C1699">
            <w:pPr>
              <w:spacing w:line="259" w:lineRule="auto"/>
            </w:pPr>
            <w:r>
              <w:t xml:space="preserve">National Health Service </w:t>
            </w:r>
          </w:p>
        </w:tc>
      </w:tr>
      <w:tr w:rsidR="00F05245" w14:paraId="265564F7" w14:textId="77777777" w:rsidTr="00F05245">
        <w:trPr>
          <w:trHeight w:val="617"/>
        </w:trPr>
        <w:tc>
          <w:tcPr>
            <w:tcW w:w="1440" w:type="dxa"/>
          </w:tcPr>
          <w:p w14:paraId="43B945EF" w14:textId="77777777" w:rsidR="00F05245" w:rsidRDefault="00F05245" w:rsidP="004C1699">
            <w:pPr>
              <w:spacing w:line="259" w:lineRule="auto"/>
            </w:pPr>
            <w:r>
              <w:rPr>
                <w:b/>
              </w:rPr>
              <w:t>RCSLT</w:t>
            </w:r>
            <w:r>
              <w:t xml:space="preserve">  </w:t>
            </w:r>
          </w:p>
        </w:tc>
        <w:tc>
          <w:tcPr>
            <w:tcW w:w="6610" w:type="dxa"/>
          </w:tcPr>
          <w:p w14:paraId="35BCC81A" w14:textId="77777777" w:rsidR="00F05245" w:rsidRDefault="00F05245" w:rsidP="004C1699">
            <w:pPr>
              <w:spacing w:line="259" w:lineRule="auto"/>
            </w:pPr>
            <w:r>
              <w:t xml:space="preserve">Royal College of Speech and Language Therapists </w:t>
            </w:r>
          </w:p>
        </w:tc>
      </w:tr>
      <w:tr w:rsidR="00F05245" w14:paraId="757691BD" w14:textId="77777777" w:rsidTr="00F05245">
        <w:trPr>
          <w:trHeight w:val="617"/>
        </w:trPr>
        <w:tc>
          <w:tcPr>
            <w:tcW w:w="1440" w:type="dxa"/>
          </w:tcPr>
          <w:p w14:paraId="350F1134" w14:textId="77777777" w:rsidR="00F05245" w:rsidRDefault="00F05245" w:rsidP="004C1699">
            <w:pPr>
              <w:tabs>
                <w:tab w:val="center" w:pos="720"/>
              </w:tabs>
              <w:spacing w:line="259" w:lineRule="auto"/>
            </w:pPr>
            <w:r>
              <w:rPr>
                <w:b/>
              </w:rPr>
              <w:t>SLT</w:t>
            </w:r>
            <w:r>
              <w:t xml:space="preserve"> </w:t>
            </w:r>
            <w:r>
              <w:tab/>
              <w:t xml:space="preserve"> </w:t>
            </w:r>
          </w:p>
        </w:tc>
        <w:tc>
          <w:tcPr>
            <w:tcW w:w="6610" w:type="dxa"/>
          </w:tcPr>
          <w:p w14:paraId="1E13B795" w14:textId="77777777" w:rsidR="00F05245" w:rsidRDefault="00F05245" w:rsidP="004C1699">
            <w:pPr>
              <w:spacing w:line="259" w:lineRule="auto"/>
            </w:pPr>
            <w:r>
              <w:t xml:space="preserve">Speech and language therapist </w:t>
            </w:r>
          </w:p>
        </w:tc>
      </w:tr>
      <w:tr w:rsidR="00F05245" w14:paraId="3B7F2996" w14:textId="77777777" w:rsidTr="00F05245">
        <w:trPr>
          <w:trHeight w:val="617"/>
        </w:trPr>
        <w:tc>
          <w:tcPr>
            <w:tcW w:w="1440" w:type="dxa"/>
          </w:tcPr>
          <w:p w14:paraId="60C1EBDB" w14:textId="77777777" w:rsidR="00F05245" w:rsidRDefault="00F05245" w:rsidP="004C1699">
            <w:pPr>
              <w:spacing w:line="259" w:lineRule="auto"/>
            </w:pPr>
            <w:proofErr w:type="spellStart"/>
            <w:r>
              <w:rPr>
                <w:b/>
              </w:rPr>
              <w:t>SoP</w:t>
            </w:r>
            <w:proofErr w:type="spellEnd"/>
            <w:r>
              <w:rPr>
                <w:b/>
              </w:rPr>
              <w:t xml:space="preserve">(s)  </w:t>
            </w:r>
          </w:p>
        </w:tc>
        <w:tc>
          <w:tcPr>
            <w:tcW w:w="6610" w:type="dxa"/>
          </w:tcPr>
          <w:p w14:paraId="0A82157E" w14:textId="77777777" w:rsidR="00F05245" w:rsidRDefault="00F05245" w:rsidP="004C1699">
            <w:pPr>
              <w:spacing w:line="259" w:lineRule="auto"/>
              <w:jc w:val="both"/>
            </w:pPr>
            <w:r>
              <w:t xml:space="preserve">HCPC Standard(s) of proficiency for speech and language therapists </w:t>
            </w:r>
          </w:p>
        </w:tc>
      </w:tr>
      <w:tr w:rsidR="00F05245" w14:paraId="69D52B96" w14:textId="77777777" w:rsidTr="00F05245">
        <w:trPr>
          <w:trHeight w:val="477"/>
        </w:trPr>
        <w:tc>
          <w:tcPr>
            <w:tcW w:w="1440" w:type="dxa"/>
          </w:tcPr>
          <w:p w14:paraId="186B3CC8" w14:textId="77777777" w:rsidR="00F05245" w:rsidRDefault="00F05245" w:rsidP="004C1699">
            <w:pPr>
              <w:tabs>
                <w:tab w:val="center" w:pos="720"/>
              </w:tabs>
              <w:spacing w:after="300" w:line="259" w:lineRule="auto"/>
            </w:pPr>
            <w:r>
              <w:rPr>
                <w:b/>
              </w:rPr>
              <w:t>UK</w:t>
            </w:r>
            <w:r>
              <w:t xml:space="preserve"> </w:t>
            </w:r>
            <w:r>
              <w:tab/>
              <w:t xml:space="preserve"> </w:t>
            </w:r>
          </w:p>
          <w:p w14:paraId="65077D9A" w14:textId="77777777" w:rsidR="00F05245" w:rsidRDefault="00F05245" w:rsidP="004C1699">
            <w:pPr>
              <w:spacing w:line="259" w:lineRule="auto"/>
            </w:pPr>
            <w:r>
              <w:t xml:space="preserve"> </w:t>
            </w:r>
          </w:p>
        </w:tc>
        <w:tc>
          <w:tcPr>
            <w:tcW w:w="6610" w:type="dxa"/>
          </w:tcPr>
          <w:p w14:paraId="6B6A5895" w14:textId="77777777" w:rsidR="00F05245" w:rsidRDefault="00F05245" w:rsidP="004C1699">
            <w:pPr>
              <w:spacing w:line="259" w:lineRule="auto"/>
            </w:pPr>
            <w:r>
              <w:t xml:space="preserve">United Kingdom of Great Britain and Northern Ireland </w:t>
            </w:r>
          </w:p>
        </w:tc>
      </w:tr>
    </w:tbl>
    <w:p w14:paraId="2E8B4F1C" w14:textId="77777777" w:rsidR="004A2235" w:rsidRDefault="004A2235" w:rsidP="008D4936"/>
    <w:p w14:paraId="46361DA9" w14:textId="77777777" w:rsidR="00F05245" w:rsidRDefault="00F05245">
      <w:pPr>
        <w:rPr>
          <w:rFonts w:ascii="Open Sans SemiBold" w:eastAsia="Open Sans" w:hAnsi="Open Sans SemiBold"/>
          <w:color w:val="102036"/>
          <w:sz w:val="36"/>
          <w:szCs w:val="36"/>
        </w:rPr>
      </w:pPr>
      <w:r>
        <w:br w:type="page"/>
      </w:r>
    </w:p>
    <w:p w14:paraId="24880BCA" w14:textId="3083AAA4" w:rsidR="004A2235" w:rsidRDefault="004A2235" w:rsidP="00250BF0">
      <w:pPr>
        <w:pStyle w:val="Heading1"/>
      </w:pPr>
      <w:bookmarkStart w:id="69" w:name="_Toc203664695"/>
      <w:bookmarkStart w:id="70" w:name="_Toc207803414"/>
      <w:r>
        <w:lastRenderedPageBreak/>
        <w:t>Acknowledgements</w:t>
      </w:r>
      <w:bookmarkEnd w:id="69"/>
      <w:bookmarkEnd w:id="70"/>
      <w:r>
        <w:t xml:space="preserve"> </w:t>
      </w:r>
    </w:p>
    <w:p w14:paraId="12390E57" w14:textId="77777777" w:rsidR="004A2235" w:rsidRDefault="004A2235" w:rsidP="004A2235">
      <w:pPr>
        <w:spacing w:after="292"/>
        <w:ind w:left="-5" w:right="5"/>
      </w:pPr>
      <w:r>
        <w:t xml:space="preserve">Writing this document has been a truly collaborative exercise. </w:t>
      </w:r>
    </w:p>
    <w:p w14:paraId="31E7DDCC" w14:textId="77777777" w:rsidR="004A2235" w:rsidRDefault="004A2235" w:rsidP="004A2235">
      <w:pPr>
        <w:spacing w:after="7"/>
        <w:ind w:left="-5" w:right="5"/>
      </w:pPr>
      <w:r>
        <w:t xml:space="preserve">We would like to extend our deepest gratitude to </w:t>
      </w:r>
      <w:r>
        <w:rPr>
          <w:b/>
        </w:rPr>
        <w:t>the lead authors and the working group</w:t>
      </w:r>
      <w:r>
        <w:t xml:space="preserve"> who wrote this document and showed incredible commitment and spirit to deliver it within a tight timeframe in the middle of a pandemic: </w:t>
      </w:r>
    </w:p>
    <w:p w14:paraId="5AA157B4" w14:textId="77777777" w:rsidR="004A2235" w:rsidRDefault="004A2235" w:rsidP="004A2235">
      <w:pPr>
        <w:spacing w:after="7"/>
        <w:ind w:left="-5" w:right="5"/>
      </w:pPr>
    </w:p>
    <w:tbl>
      <w:tblPr>
        <w:tblStyle w:val="TableGrid"/>
        <w:tblW w:w="9633" w:type="dxa"/>
        <w:tblInd w:w="-107" w:type="dxa"/>
        <w:tblCellMar>
          <w:top w:w="52" w:type="dxa"/>
          <w:left w:w="107" w:type="dxa"/>
          <w:right w:w="95" w:type="dxa"/>
        </w:tblCellMar>
        <w:tblLook w:val="04A0" w:firstRow="1" w:lastRow="0" w:firstColumn="1" w:lastColumn="0" w:noHBand="0" w:noVBand="1"/>
      </w:tblPr>
      <w:tblGrid>
        <w:gridCol w:w="2262"/>
        <w:gridCol w:w="5104"/>
        <w:gridCol w:w="2267"/>
      </w:tblGrid>
      <w:tr w:rsidR="004A2235" w14:paraId="3D7D639C" w14:textId="77777777" w:rsidTr="004A2235">
        <w:trPr>
          <w:trHeight w:val="887"/>
        </w:trPr>
        <w:tc>
          <w:tcPr>
            <w:tcW w:w="2262" w:type="dxa"/>
            <w:tcBorders>
              <w:top w:val="single" w:sz="4" w:space="0" w:color="000000"/>
              <w:left w:val="single" w:sz="4" w:space="0" w:color="000000"/>
              <w:bottom w:val="single" w:sz="4" w:space="0" w:color="000000"/>
              <w:right w:val="single" w:sz="4" w:space="0" w:color="000000"/>
            </w:tcBorders>
            <w:shd w:val="clear" w:color="auto" w:fill="8DB3E2"/>
          </w:tcPr>
          <w:p w14:paraId="2734ABCF" w14:textId="77777777" w:rsidR="004A2235" w:rsidRDefault="004A2235" w:rsidP="004C1699">
            <w:pPr>
              <w:spacing w:line="259" w:lineRule="auto"/>
            </w:pPr>
            <w:r>
              <w:rPr>
                <w:b/>
              </w:rPr>
              <w:t xml:space="preserve">Name </w:t>
            </w:r>
          </w:p>
        </w:tc>
        <w:tc>
          <w:tcPr>
            <w:tcW w:w="5104" w:type="dxa"/>
            <w:tcBorders>
              <w:top w:val="single" w:sz="4" w:space="0" w:color="000000"/>
              <w:left w:val="single" w:sz="4" w:space="0" w:color="000000"/>
              <w:bottom w:val="single" w:sz="4" w:space="0" w:color="000000"/>
              <w:right w:val="single" w:sz="4" w:space="0" w:color="000000"/>
            </w:tcBorders>
            <w:shd w:val="clear" w:color="auto" w:fill="8DB3E2"/>
          </w:tcPr>
          <w:p w14:paraId="2AAFEFBB" w14:textId="77777777" w:rsidR="004A2235" w:rsidRDefault="004A2235" w:rsidP="004C1699">
            <w:pPr>
              <w:spacing w:line="259" w:lineRule="auto"/>
              <w:ind w:left="1"/>
            </w:pPr>
            <w:r>
              <w:rPr>
                <w:b/>
              </w:rPr>
              <w:t xml:space="preserve">Job title and employer </w:t>
            </w:r>
          </w:p>
        </w:tc>
        <w:tc>
          <w:tcPr>
            <w:tcW w:w="2267" w:type="dxa"/>
            <w:tcBorders>
              <w:top w:val="single" w:sz="4" w:space="0" w:color="000000"/>
              <w:left w:val="single" w:sz="4" w:space="0" w:color="000000"/>
              <w:bottom w:val="single" w:sz="4" w:space="0" w:color="000000"/>
              <w:right w:val="single" w:sz="4" w:space="0" w:color="000000"/>
            </w:tcBorders>
            <w:shd w:val="clear" w:color="auto" w:fill="8DB3E2"/>
          </w:tcPr>
          <w:p w14:paraId="3A8C9002" w14:textId="77777777" w:rsidR="004A2235" w:rsidRDefault="004A2235" w:rsidP="004C1699">
            <w:pPr>
              <w:spacing w:line="259" w:lineRule="auto"/>
              <w:ind w:left="1"/>
            </w:pPr>
            <w:r>
              <w:rPr>
                <w:b/>
              </w:rPr>
              <w:t xml:space="preserve">Role in development of these competencies </w:t>
            </w:r>
          </w:p>
        </w:tc>
      </w:tr>
      <w:tr w:rsidR="004A2235" w14:paraId="481315EA" w14:textId="77777777" w:rsidTr="004A2235">
        <w:trPr>
          <w:trHeight w:val="596"/>
        </w:trPr>
        <w:tc>
          <w:tcPr>
            <w:tcW w:w="2262" w:type="dxa"/>
            <w:tcBorders>
              <w:top w:val="single" w:sz="4" w:space="0" w:color="000000"/>
              <w:left w:val="single" w:sz="4" w:space="0" w:color="000000"/>
              <w:bottom w:val="single" w:sz="4" w:space="0" w:color="000000"/>
              <w:right w:val="single" w:sz="4" w:space="0" w:color="000000"/>
            </w:tcBorders>
          </w:tcPr>
          <w:p w14:paraId="0E632B12" w14:textId="77777777" w:rsidR="004A2235" w:rsidRDefault="004A2235" w:rsidP="004C1699">
            <w:pPr>
              <w:spacing w:line="259" w:lineRule="auto"/>
            </w:pPr>
            <w:r>
              <w:t xml:space="preserve">Paula Leslie </w:t>
            </w:r>
          </w:p>
          <w:p w14:paraId="0D780B63"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51599122" w14:textId="77777777" w:rsidR="004A2235" w:rsidRDefault="004A2235" w:rsidP="004C1699">
            <w:pPr>
              <w:spacing w:line="259" w:lineRule="auto"/>
              <w:ind w:left="1"/>
            </w:pPr>
            <w:r>
              <w:t xml:space="preserve">Consultant scholar </w:t>
            </w:r>
          </w:p>
        </w:tc>
        <w:tc>
          <w:tcPr>
            <w:tcW w:w="2267" w:type="dxa"/>
            <w:tcBorders>
              <w:top w:val="single" w:sz="4" w:space="0" w:color="000000"/>
              <w:left w:val="single" w:sz="4" w:space="0" w:color="000000"/>
              <w:bottom w:val="single" w:sz="4" w:space="0" w:color="000000"/>
              <w:right w:val="single" w:sz="4" w:space="0" w:color="000000"/>
            </w:tcBorders>
          </w:tcPr>
          <w:p w14:paraId="742199B8" w14:textId="77777777" w:rsidR="004A2235" w:rsidRDefault="004A2235" w:rsidP="004C1699">
            <w:pPr>
              <w:spacing w:line="259" w:lineRule="auto"/>
              <w:ind w:left="1"/>
            </w:pPr>
            <w:r>
              <w:t xml:space="preserve">Lead author, academic </w:t>
            </w:r>
          </w:p>
        </w:tc>
      </w:tr>
      <w:tr w:rsidR="004A2235" w14:paraId="0186B8D7" w14:textId="77777777" w:rsidTr="004A2235">
        <w:trPr>
          <w:trHeight w:val="888"/>
        </w:trPr>
        <w:tc>
          <w:tcPr>
            <w:tcW w:w="2262" w:type="dxa"/>
            <w:tcBorders>
              <w:top w:val="single" w:sz="4" w:space="0" w:color="000000"/>
              <w:left w:val="single" w:sz="4" w:space="0" w:color="000000"/>
              <w:bottom w:val="single" w:sz="4" w:space="0" w:color="000000"/>
              <w:right w:val="single" w:sz="4" w:space="0" w:color="000000"/>
            </w:tcBorders>
          </w:tcPr>
          <w:p w14:paraId="1F3C8568" w14:textId="77777777" w:rsidR="004A2235" w:rsidRDefault="004A2235" w:rsidP="004C1699">
            <w:pPr>
              <w:spacing w:line="259" w:lineRule="auto"/>
            </w:pPr>
            <w:r>
              <w:t xml:space="preserve">Hannah Crawford </w:t>
            </w:r>
          </w:p>
          <w:p w14:paraId="6FD6A0A0"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17DCFCA9" w14:textId="77777777" w:rsidR="004A2235" w:rsidRDefault="004A2235" w:rsidP="004C1699">
            <w:pPr>
              <w:spacing w:line="259" w:lineRule="auto"/>
              <w:ind w:left="1"/>
            </w:pPr>
            <w:r>
              <w:t xml:space="preserve">Acting lead for allied health professions and </w:t>
            </w:r>
          </w:p>
          <w:p w14:paraId="13D58D7A" w14:textId="77777777" w:rsidR="004A2235" w:rsidRDefault="004A2235" w:rsidP="004C1699">
            <w:pPr>
              <w:spacing w:line="259" w:lineRule="auto"/>
              <w:ind w:left="1"/>
            </w:pPr>
            <w:r>
              <w:t xml:space="preserve">Social Work, Tees, </w:t>
            </w:r>
            <w:proofErr w:type="spellStart"/>
            <w:r>
              <w:t>Esk</w:t>
            </w:r>
            <w:proofErr w:type="spellEnd"/>
            <w:r>
              <w:t xml:space="preserve"> and Wear Valleys NHS Foundation Trust </w:t>
            </w:r>
          </w:p>
        </w:tc>
        <w:tc>
          <w:tcPr>
            <w:tcW w:w="2267" w:type="dxa"/>
            <w:tcBorders>
              <w:top w:val="single" w:sz="4" w:space="0" w:color="000000"/>
              <w:left w:val="single" w:sz="4" w:space="0" w:color="000000"/>
              <w:bottom w:val="single" w:sz="4" w:space="0" w:color="000000"/>
              <w:right w:val="single" w:sz="4" w:space="0" w:color="000000"/>
            </w:tcBorders>
          </w:tcPr>
          <w:p w14:paraId="02A15000" w14:textId="77777777" w:rsidR="004A2235" w:rsidRDefault="004A2235" w:rsidP="004C1699">
            <w:pPr>
              <w:spacing w:line="259" w:lineRule="auto"/>
              <w:ind w:left="1"/>
            </w:pPr>
            <w:r>
              <w:t xml:space="preserve">Lead author, clinician </w:t>
            </w:r>
          </w:p>
        </w:tc>
      </w:tr>
      <w:tr w:rsidR="004A2235" w14:paraId="7C6C5458" w14:textId="77777777" w:rsidTr="004A2235">
        <w:trPr>
          <w:trHeight w:val="890"/>
        </w:trPr>
        <w:tc>
          <w:tcPr>
            <w:tcW w:w="2262" w:type="dxa"/>
            <w:tcBorders>
              <w:top w:val="single" w:sz="4" w:space="0" w:color="000000"/>
              <w:left w:val="single" w:sz="4" w:space="0" w:color="000000"/>
              <w:bottom w:val="single" w:sz="4" w:space="0" w:color="000000"/>
              <w:right w:val="single" w:sz="4" w:space="0" w:color="000000"/>
            </w:tcBorders>
          </w:tcPr>
          <w:p w14:paraId="286DC35C" w14:textId="77777777" w:rsidR="004A2235" w:rsidRDefault="004A2235" w:rsidP="004C1699">
            <w:pPr>
              <w:spacing w:line="259" w:lineRule="auto"/>
            </w:pPr>
            <w:r>
              <w:t xml:space="preserve">Kirsty Harrison </w:t>
            </w:r>
          </w:p>
          <w:p w14:paraId="15EC7430"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B321F05" w14:textId="77777777" w:rsidR="004A2235" w:rsidRDefault="004A2235" w:rsidP="004C1699">
            <w:pPr>
              <w:spacing w:line="259" w:lineRule="auto"/>
              <w:ind w:left="1"/>
            </w:pPr>
            <w:r>
              <w:t xml:space="preserve">Senior lecturer, University of East Anglia </w:t>
            </w:r>
          </w:p>
        </w:tc>
        <w:tc>
          <w:tcPr>
            <w:tcW w:w="2267" w:type="dxa"/>
            <w:tcBorders>
              <w:top w:val="single" w:sz="4" w:space="0" w:color="000000"/>
              <w:left w:val="single" w:sz="4" w:space="0" w:color="000000"/>
              <w:bottom w:val="single" w:sz="4" w:space="0" w:color="000000"/>
              <w:right w:val="single" w:sz="4" w:space="0" w:color="000000"/>
            </w:tcBorders>
          </w:tcPr>
          <w:p w14:paraId="3CDCC487" w14:textId="77777777" w:rsidR="004A2235" w:rsidRDefault="004A2235" w:rsidP="004C1699">
            <w:pPr>
              <w:spacing w:line="259" w:lineRule="auto"/>
              <w:ind w:left="1"/>
            </w:pPr>
            <w:r>
              <w:t xml:space="preserve">England representative, academic </w:t>
            </w:r>
          </w:p>
        </w:tc>
      </w:tr>
      <w:tr w:rsidR="004A2235" w14:paraId="590F83B4" w14:textId="77777777" w:rsidTr="004A2235">
        <w:trPr>
          <w:trHeight w:val="889"/>
        </w:trPr>
        <w:tc>
          <w:tcPr>
            <w:tcW w:w="2262" w:type="dxa"/>
            <w:tcBorders>
              <w:top w:val="single" w:sz="4" w:space="0" w:color="000000"/>
              <w:left w:val="single" w:sz="4" w:space="0" w:color="000000"/>
              <w:bottom w:val="single" w:sz="4" w:space="0" w:color="000000"/>
              <w:right w:val="single" w:sz="4" w:space="0" w:color="000000"/>
            </w:tcBorders>
          </w:tcPr>
          <w:p w14:paraId="62ECA3FC" w14:textId="77777777" w:rsidR="004A2235" w:rsidRDefault="004A2235" w:rsidP="004C1699">
            <w:pPr>
              <w:spacing w:line="259" w:lineRule="auto"/>
            </w:pPr>
            <w:r>
              <w:t xml:space="preserve">Síofra Mulkerrin </w:t>
            </w:r>
          </w:p>
          <w:p w14:paraId="2B5BE9AB"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002006EA" w14:textId="77777777" w:rsidR="004A2235" w:rsidRDefault="004A2235" w:rsidP="004C1699">
            <w:pPr>
              <w:spacing w:line="259" w:lineRule="auto"/>
              <w:ind w:left="1"/>
            </w:pPr>
            <w:r>
              <w:t xml:space="preserve">Acting clinical lead SLT (Adult Acute Team) at </w:t>
            </w:r>
          </w:p>
          <w:p w14:paraId="67B5DE8D" w14:textId="77777777" w:rsidR="004A2235" w:rsidRDefault="004A2235" w:rsidP="004C1699">
            <w:pPr>
              <w:spacing w:line="259" w:lineRule="auto"/>
              <w:ind w:left="1"/>
            </w:pPr>
            <w:r>
              <w:t xml:space="preserve">Addenbrooke’s Hospital, Cambridge University Hospitals Trust </w:t>
            </w:r>
          </w:p>
        </w:tc>
        <w:tc>
          <w:tcPr>
            <w:tcW w:w="2267" w:type="dxa"/>
            <w:tcBorders>
              <w:top w:val="single" w:sz="4" w:space="0" w:color="000000"/>
              <w:left w:val="single" w:sz="4" w:space="0" w:color="000000"/>
              <w:bottom w:val="single" w:sz="4" w:space="0" w:color="000000"/>
              <w:right w:val="single" w:sz="4" w:space="0" w:color="000000"/>
            </w:tcBorders>
          </w:tcPr>
          <w:p w14:paraId="4727B31F" w14:textId="77777777" w:rsidR="004A2235" w:rsidRDefault="004A2235" w:rsidP="004C1699">
            <w:pPr>
              <w:spacing w:line="259" w:lineRule="auto"/>
              <w:ind w:left="1"/>
            </w:pPr>
            <w:r>
              <w:t xml:space="preserve">England representative, clinician </w:t>
            </w:r>
          </w:p>
        </w:tc>
      </w:tr>
      <w:tr w:rsidR="004A2235" w14:paraId="47A2A177" w14:textId="77777777" w:rsidTr="004A2235">
        <w:trPr>
          <w:trHeight w:val="1183"/>
        </w:trPr>
        <w:tc>
          <w:tcPr>
            <w:tcW w:w="2262" w:type="dxa"/>
            <w:tcBorders>
              <w:top w:val="single" w:sz="4" w:space="0" w:color="000000"/>
              <w:left w:val="single" w:sz="4" w:space="0" w:color="000000"/>
              <w:bottom w:val="single" w:sz="4" w:space="0" w:color="000000"/>
              <w:right w:val="single" w:sz="4" w:space="0" w:color="000000"/>
            </w:tcBorders>
          </w:tcPr>
          <w:p w14:paraId="433C6941" w14:textId="77777777" w:rsidR="004A2235" w:rsidRDefault="004A2235" w:rsidP="004C1699">
            <w:pPr>
              <w:spacing w:line="259" w:lineRule="auto"/>
            </w:pPr>
            <w:r>
              <w:t>Nicholas de Mora-</w:t>
            </w:r>
          </w:p>
          <w:p w14:paraId="7F9ECCC8" w14:textId="77777777" w:rsidR="004A2235" w:rsidRDefault="004A2235" w:rsidP="004C1699">
            <w:pPr>
              <w:spacing w:line="259" w:lineRule="auto"/>
            </w:pPr>
            <w:proofErr w:type="spellStart"/>
            <w:r>
              <w:t>Mieszkowski</w:t>
            </w:r>
            <w:proofErr w:type="spellEnd"/>
            <w:r>
              <w:t xml:space="preserve"> </w:t>
            </w:r>
          </w:p>
          <w:p w14:paraId="0A23239F"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011A541F" w14:textId="77777777" w:rsidR="004A2235" w:rsidRDefault="004A2235" w:rsidP="004C1699">
            <w:pPr>
              <w:spacing w:after="2"/>
              <w:ind w:left="1"/>
            </w:pPr>
            <w:r>
              <w:t xml:space="preserve">Associate lecturer – practice education facilitator, Cardiff Metropolitan </w:t>
            </w:r>
            <w:proofErr w:type="gramStart"/>
            <w:r>
              <w:t>University;</w:t>
            </w:r>
            <w:proofErr w:type="gramEnd"/>
            <w:r>
              <w:t xml:space="preserve"> </w:t>
            </w:r>
          </w:p>
          <w:p w14:paraId="6A19D611" w14:textId="77777777" w:rsidR="004A2235" w:rsidRDefault="004A2235" w:rsidP="004C1699">
            <w:pPr>
              <w:spacing w:line="259" w:lineRule="auto"/>
              <w:ind w:left="1"/>
            </w:pPr>
            <w:r>
              <w:t xml:space="preserve">highly specialist speech and language therapist, Betsi Cadwaladr University Health Board </w:t>
            </w:r>
          </w:p>
        </w:tc>
        <w:tc>
          <w:tcPr>
            <w:tcW w:w="2267" w:type="dxa"/>
            <w:tcBorders>
              <w:top w:val="single" w:sz="4" w:space="0" w:color="000000"/>
              <w:left w:val="single" w:sz="4" w:space="0" w:color="000000"/>
              <w:bottom w:val="single" w:sz="4" w:space="0" w:color="000000"/>
              <w:right w:val="single" w:sz="4" w:space="0" w:color="000000"/>
            </w:tcBorders>
          </w:tcPr>
          <w:p w14:paraId="7C363BD7" w14:textId="77777777" w:rsidR="004A2235" w:rsidRDefault="004A2235" w:rsidP="004C1699">
            <w:pPr>
              <w:spacing w:line="259" w:lineRule="auto"/>
              <w:ind w:left="1"/>
            </w:pPr>
            <w:r>
              <w:t xml:space="preserve">Wales representative, academic </w:t>
            </w:r>
          </w:p>
        </w:tc>
      </w:tr>
      <w:tr w:rsidR="004A2235" w14:paraId="7250C9DF" w14:textId="77777777" w:rsidTr="004A2235">
        <w:trPr>
          <w:trHeight w:val="892"/>
        </w:trPr>
        <w:tc>
          <w:tcPr>
            <w:tcW w:w="2262" w:type="dxa"/>
            <w:tcBorders>
              <w:top w:val="single" w:sz="4" w:space="0" w:color="000000"/>
              <w:left w:val="single" w:sz="4" w:space="0" w:color="000000"/>
              <w:bottom w:val="single" w:sz="4" w:space="0" w:color="000000"/>
              <w:right w:val="single" w:sz="4" w:space="0" w:color="000000"/>
            </w:tcBorders>
          </w:tcPr>
          <w:p w14:paraId="5FFC31AD" w14:textId="77777777" w:rsidR="004A2235" w:rsidRDefault="004A2235" w:rsidP="004C1699">
            <w:pPr>
              <w:spacing w:line="259" w:lineRule="auto"/>
            </w:pPr>
            <w:r>
              <w:t xml:space="preserve">Nerys Williams </w:t>
            </w:r>
          </w:p>
          <w:p w14:paraId="690AAFB5"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5A03A83D" w14:textId="77777777" w:rsidR="004A2235" w:rsidRDefault="004A2235" w:rsidP="004C1699">
            <w:pPr>
              <w:spacing w:line="259" w:lineRule="auto"/>
              <w:ind w:left="1"/>
            </w:pPr>
            <w:r>
              <w:t xml:space="preserve">Clinical lead for dysphagia and videofluoroscopy, Cardiff and Vale University Health Board </w:t>
            </w:r>
          </w:p>
        </w:tc>
        <w:tc>
          <w:tcPr>
            <w:tcW w:w="2267" w:type="dxa"/>
            <w:tcBorders>
              <w:top w:val="single" w:sz="4" w:space="0" w:color="000000"/>
              <w:left w:val="single" w:sz="4" w:space="0" w:color="000000"/>
              <w:bottom w:val="single" w:sz="4" w:space="0" w:color="000000"/>
              <w:right w:val="single" w:sz="4" w:space="0" w:color="000000"/>
            </w:tcBorders>
          </w:tcPr>
          <w:p w14:paraId="595A252B" w14:textId="77777777" w:rsidR="004A2235" w:rsidRDefault="004A2235" w:rsidP="004C1699">
            <w:pPr>
              <w:spacing w:line="259" w:lineRule="auto"/>
              <w:ind w:left="1"/>
            </w:pPr>
            <w:r>
              <w:t xml:space="preserve">Wales representative, clinician </w:t>
            </w:r>
          </w:p>
        </w:tc>
      </w:tr>
      <w:tr w:rsidR="004A2235" w14:paraId="2D822EB4" w14:textId="77777777" w:rsidTr="004A2235">
        <w:trPr>
          <w:trHeight w:val="888"/>
        </w:trPr>
        <w:tc>
          <w:tcPr>
            <w:tcW w:w="2262" w:type="dxa"/>
            <w:tcBorders>
              <w:top w:val="single" w:sz="4" w:space="0" w:color="000000"/>
              <w:left w:val="single" w:sz="4" w:space="0" w:color="000000"/>
              <w:bottom w:val="single" w:sz="4" w:space="0" w:color="000000"/>
              <w:right w:val="single" w:sz="4" w:space="0" w:color="000000"/>
            </w:tcBorders>
          </w:tcPr>
          <w:p w14:paraId="205D5564" w14:textId="77777777" w:rsidR="004A2235" w:rsidRDefault="004A2235" w:rsidP="004C1699">
            <w:pPr>
              <w:spacing w:line="259" w:lineRule="auto"/>
            </w:pPr>
            <w:r>
              <w:t xml:space="preserve">Carolyn Andrews </w:t>
            </w:r>
          </w:p>
          <w:p w14:paraId="37A1AE07"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509E0E12" w14:textId="77777777" w:rsidR="004A2235" w:rsidRDefault="004A2235" w:rsidP="004C1699">
            <w:pPr>
              <w:spacing w:line="259" w:lineRule="auto"/>
              <w:ind w:left="1"/>
            </w:pPr>
            <w:r>
              <w:t xml:space="preserve">Teaching fellow, University of Strathclyde </w:t>
            </w:r>
          </w:p>
        </w:tc>
        <w:tc>
          <w:tcPr>
            <w:tcW w:w="2267" w:type="dxa"/>
            <w:tcBorders>
              <w:top w:val="single" w:sz="4" w:space="0" w:color="000000"/>
              <w:left w:val="single" w:sz="4" w:space="0" w:color="000000"/>
              <w:bottom w:val="single" w:sz="4" w:space="0" w:color="000000"/>
              <w:right w:val="single" w:sz="4" w:space="0" w:color="000000"/>
            </w:tcBorders>
          </w:tcPr>
          <w:p w14:paraId="5A8EA5F9" w14:textId="77777777" w:rsidR="004A2235" w:rsidRDefault="004A2235" w:rsidP="004C1699">
            <w:pPr>
              <w:spacing w:line="259" w:lineRule="auto"/>
              <w:ind w:left="1"/>
            </w:pPr>
            <w:r>
              <w:t xml:space="preserve">Scotland representative, academic </w:t>
            </w:r>
          </w:p>
        </w:tc>
      </w:tr>
      <w:tr w:rsidR="004A2235" w14:paraId="23F8BB22" w14:textId="77777777" w:rsidTr="004A2235">
        <w:trPr>
          <w:trHeight w:val="890"/>
        </w:trPr>
        <w:tc>
          <w:tcPr>
            <w:tcW w:w="2262" w:type="dxa"/>
            <w:tcBorders>
              <w:top w:val="single" w:sz="4" w:space="0" w:color="000000"/>
              <w:left w:val="single" w:sz="4" w:space="0" w:color="000000"/>
              <w:bottom w:val="single" w:sz="4" w:space="0" w:color="000000"/>
              <w:right w:val="single" w:sz="4" w:space="0" w:color="000000"/>
            </w:tcBorders>
          </w:tcPr>
          <w:p w14:paraId="764682C8" w14:textId="77777777" w:rsidR="004A2235" w:rsidRDefault="004A2235" w:rsidP="004C1699">
            <w:pPr>
              <w:spacing w:line="259" w:lineRule="auto"/>
            </w:pPr>
            <w:r>
              <w:t xml:space="preserve">Kate Toft </w:t>
            </w:r>
          </w:p>
          <w:p w14:paraId="0A14393B"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44E4489A" w14:textId="77777777" w:rsidR="004A2235" w:rsidRDefault="004A2235" w:rsidP="004C1699">
            <w:pPr>
              <w:spacing w:line="259" w:lineRule="auto"/>
              <w:ind w:left="1"/>
            </w:pPr>
            <w:r>
              <w:t xml:space="preserve">Highly specialist speech and language therapist, NHS Lothian </w:t>
            </w:r>
          </w:p>
        </w:tc>
        <w:tc>
          <w:tcPr>
            <w:tcW w:w="2267" w:type="dxa"/>
            <w:tcBorders>
              <w:top w:val="single" w:sz="4" w:space="0" w:color="000000"/>
              <w:left w:val="single" w:sz="4" w:space="0" w:color="000000"/>
              <w:bottom w:val="single" w:sz="4" w:space="0" w:color="000000"/>
              <w:right w:val="single" w:sz="4" w:space="0" w:color="000000"/>
            </w:tcBorders>
          </w:tcPr>
          <w:p w14:paraId="04C21052" w14:textId="77777777" w:rsidR="004A2235" w:rsidRDefault="004A2235" w:rsidP="004C1699">
            <w:pPr>
              <w:spacing w:line="259" w:lineRule="auto"/>
              <w:ind w:left="1"/>
            </w:pPr>
            <w:r>
              <w:t xml:space="preserve">Scotland representative, clinician </w:t>
            </w:r>
          </w:p>
        </w:tc>
      </w:tr>
      <w:tr w:rsidR="004A2235" w14:paraId="0B88011E" w14:textId="77777777" w:rsidTr="004A2235">
        <w:trPr>
          <w:trHeight w:val="889"/>
        </w:trPr>
        <w:tc>
          <w:tcPr>
            <w:tcW w:w="2262" w:type="dxa"/>
            <w:tcBorders>
              <w:top w:val="single" w:sz="4" w:space="0" w:color="000000"/>
              <w:left w:val="single" w:sz="4" w:space="0" w:color="000000"/>
              <w:bottom w:val="single" w:sz="4" w:space="0" w:color="000000"/>
              <w:right w:val="single" w:sz="4" w:space="0" w:color="000000"/>
            </w:tcBorders>
          </w:tcPr>
          <w:p w14:paraId="182FDAAD" w14:textId="77777777" w:rsidR="004A2235" w:rsidRDefault="004A2235" w:rsidP="004C1699">
            <w:pPr>
              <w:spacing w:line="259" w:lineRule="auto"/>
            </w:pPr>
            <w:r>
              <w:t xml:space="preserve">Rosalind Gray </w:t>
            </w:r>
          </w:p>
          <w:p w14:paraId="7EE4D1B8" w14:textId="77777777" w:rsidR="004A2235" w:rsidRDefault="004A2235" w:rsidP="004C1699">
            <w:pPr>
              <w:spacing w:line="259" w:lineRule="auto"/>
            </w:pPr>
            <w:r>
              <w:t xml:space="preserve">Rogers </w:t>
            </w:r>
          </w:p>
          <w:p w14:paraId="2B4E8CDC"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7F7EA7EA" w14:textId="77777777" w:rsidR="004A2235" w:rsidRDefault="004A2235" w:rsidP="004C1699">
            <w:pPr>
              <w:spacing w:line="259" w:lineRule="auto"/>
              <w:ind w:left="1"/>
            </w:pPr>
            <w:r>
              <w:t xml:space="preserve">Course director: Speech and Language Therapy, </w:t>
            </w:r>
          </w:p>
          <w:p w14:paraId="38FCAD9A" w14:textId="77777777" w:rsidR="004A2235" w:rsidRDefault="004A2235" w:rsidP="004C1699">
            <w:pPr>
              <w:spacing w:line="259" w:lineRule="auto"/>
              <w:ind w:left="1"/>
            </w:pPr>
            <w:r>
              <w:t xml:space="preserve">Ulster University </w:t>
            </w:r>
          </w:p>
          <w:p w14:paraId="509CAE82" w14:textId="77777777" w:rsidR="004A2235" w:rsidRDefault="004A2235" w:rsidP="004C1699">
            <w:pPr>
              <w:spacing w:line="259" w:lineRule="auto"/>
              <w:ind w:left="1"/>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5DF8898" w14:textId="77777777" w:rsidR="004A2235" w:rsidRDefault="004A2235" w:rsidP="004C1699">
            <w:pPr>
              <w:spacing w:line="259" w:lineRule="auto"/>
              <w:ind w:left="1"/>
            </w:pPr>
            <w:r>
              <w:t xml:space="preserve">Northern Ireland representative, academic </w:t>
            </w:r>
          </w:p>
        </w:tc>
      </w:tr>
      <w:tr w:rsidR="004A2235" w14:paraId="5C1411B3" w14:textId="77777777" w:rsidTr="004A2235">
        <w:trPr>
          <w:trHeight w:val="888"/>
        </w:trPr>
        <w:tc>
          <w:tcPr>
            <w:tcW w:w="2262" w:type="dxa"/>
            <w:tcBorders>
              <w:top w:val="single" w:sz="4" w:space="0" w:color="000000"/>
              <w:left w:val="single" w:sz="4" w:space="0" w:color="000000"/>
              <w:bottom w:val="single" w:sz="4" w:space="0" w:color="000000"/>
              <w:right w:val="single" w:sz="4" w:space="0" w:color="000000"/>
            </w:tcBorders>
          </w:tcPr>
          <w:p w14:paraId="7B9FA3D4" w14:textId="77777777" w:rsidR="004A2235" w:rsidRDefault="004A2235" w:rsidP="004C1699">
            <w:pPr>
              <w:spacing w:line="259" w:lineRule="auto"/>
            </w:pPr>
            <w:proofErr w:type="spellStart"/>
            <w:r>
              <w:lastRenderedPageBreak/>
              <w:t>Órlaith</w:t>
            </w:r>
            <w:proofErr w:type="spellEnd"/>
            <w:r>
              <w:t xml:space="preserve"> McNulty </w:t>
            </w:r>
          </w:p>
          <w:p w14:paraId="365CE43E" w14:textId="77777777" w:rsidR="004A2235" w:rsidRDefault="004A2235" w:rsidP="004C1699">
            <w:pPr>
              <w:spacing w:line="259" w:lineRule="auto"/>
            </w:pPr>
            <w: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4ACEB7A" w14:textId="77777777" w:rsidR="004A2235" w:rsidRDefault="004A2235" w:rsidP="004C1699">
            <w:pPr>
              <w:spacing w:line="259" w:lineRule="auto"/>
              <w:ind w:left="1"/>
            </w:pPr>
            <w:r>
              <w:t xml:space="preserve">Clinical specialist speech and language therapist, Western Health and Social Care Trust </w:t>
            </w:r>
          </w:p>
        </w:tc>
        <w:tc>
          <w:tcPr>
            <w:tcW w:w="2267" w:type="dxa"/>
            <w:tcBorders>
              <w:top w:val="single" w:sz="4" w:space="0" w:color="000000"/>
              <w:left w:val="single" w:sz="4" w:space="0" w:color="000000"/>
              <w:bottom w:val="single" w:sz="4" w:space="0" w:color="000000"/>
              <w:right w:val="single" w:sz="4" w:space="0" w:color="000000"/>
            </w:tcBorders>
          </w:tcPr>
          <w:p w14:paraId="18D26FB4" w14:textId="77777777" w:rsidR="004A2235" w:rsidRDefault="004A2235" w:rsidP="004C1699">
            <w:pPr>
              <w:spacing w:line="259" w:lineRule="auto"/>
              <w:ind w:left="1"/>
            </w:pPr>
            <w:r>
              <w:t xml:space="preserve">Northern Ireland representative, clinician </w:t>
            </w:r>
          </w:p>
        </w:tc>
      </w:tr>
    </w:tbl>
    <w:p w14:paraId="55E92D64" w14:textId="77777777" w:rsidR="004A2235" w:rsidRDefault="004A2235" w:rsidP="004A2235">
      <w:pPr>
        <w:spacing w:after="340"/>
        <w:ind w:left="-5" w:right="5"/>
      </w:pPr>
    </w:p>
    <w:p w14:paraId="08F7DA8B" w14:textId="62E3BD7C" w:rsidR="004A2235" w:rsidRDefault="004A2235" w:rsidP="004A2235">
      <w:pPr>
        <w:spacing w:after="340"/>
        <w:ind w:left="-5" w:right="5"/>
      </w:pPr>
      <w:r>
        <w:t xml:space="preserve">We would also like to thank the </w:t>
      </w:r>
      <w:r>
        <w:rPr>
          <w:b/>
        </w:rPr>
        <w:t>advisory group</w:t>
      </w:r>
      <w:r>
        <w:t xml:space="preserve">, whose members provided invaluable feedback during the initial stages of developing the competencies in this document: </w:t>
      </w:r>
    </w:p>
    <w:p w14:paraId="2787CA28" w14:textId="77777777" w:rsidR="004A2235" w:rsidRDefault="004A2235" w:rsidP="004A2235">
      <w:pPr>
        <w:numPr>
          <w:ilvl w:val="0"/>
          <w:numId w:val="34"/>
        </w:numPr>
        <w:spacing w:after="44" w:line="268" w:lineRule="auto"/>
        <w:ind w:right="5" w:hanging="360"/>
      </w:pPr>
      <w:r>
        <w:rPr>
          <w:b/>
        </w:rPr>
        <w:t>Gemma Clunie</w:t>
      </w:r>
      <w:r>
        <w:t xml:space="preserve">, clinical specialist speech and language therapist in airways/ENT, Imperial College Healthcare NHS Trust; NIHR clinical doctoral research fellow, Imperial College London </w:t>
      </w:r>
    </w:p>
    <w:p w14:paraId="1F633B32" w14:textId="77777777" w:rsidR="004A2235" w:rsidRDefault="004A2235" w:rsidP="004A2235">
      <w:pPr>
        <w:numPr>
          <w:ilvl w:val="0"/>
          <w:numId w:val="34"/>
        </w:numPr>
        <w:spacing w:after="44" w:line="268" w:lineRule="auto"/>
        <w:ind w:right="5" w:hanging="360"/>
      </w:pPr>
      <w:r>
        <w:rPr>
          <w:b/>
        </w:rPr>
        <w:t>Beverley Curtis</w:t>
      </w:r>
      <w:r>
        <w:t xml:space="preserve">, speech and language therapist and clinical lead paediatric dysphagia, Cardiff and Vale University Health Board </w:t>
      </w:r>
    </w:p>
    <w:p w14:paraId="3CE2BEC3" w14:textId="77777777" w:rsidR="004A2235" w:rsidRDefault="004A2235" w:rsidP="004A2235">
      <w:pPr>
        <w:numPr>
          <w:ilvl w:val="0"/>
          <w:numId w:val="34"/>
        </w:numPr>
        <w:spacing w:after="13" w:line="268" w:lineRule="auto"/>
        <w:ind w:right="5" w:hanging="360"/>
      </w:pPr>
      <w:r>
        <w:rPr>
          <w:b/>
        </w:rPr>
        <w:t>Tracey Dailly</w:t>
      </w:r>
      <w:r>
        <w:t xml:space="preserve">, speech and language therapist and director, </w:t>
      </w:r>
      <w:proofErr w:type="spellStart"/>
      <w:r>
        <w:t>Neurorehab</w:t>
      </w:r>
      <w:proofErr w:type="spellEnd"/>
      <w:r>
        <w:t xml:space="preserve"> Group </w:t>
      </w:r>
    </w:p>
    <w:p w14:paraId="61BD1142" w14:textId="77777777" w:rsidR="004A2235" w:rsidRDefault="004A2235" w:rsidP="004A2235">
      <w:pPr>
        <w:numPr>
          <w:ilvl w:val="0"/>
          <w:numId w:val="34"/>
        </w:numPr>
        <w:spacing w:after="13" w:line="268" w:lineRule="auto"/>
        <w:ind w:right="5" w:hanging="360"/>
      </w:pPr>
      <w:r>
        <w:rPr>
          <w:b/>
        </w:rPr>
        <w:t>Lesley Ann Docherty</w:t>
      </w:r>
      <w:r>
        <w:t xml:space="preserve">, senior lecturer in dysphagia, Birmingham City University </w:t>
      </w:r>
    </w:p>
    <w:p w14:paraId="2D4C09B0" w14:textId="77777777" w:rsidR="004A2235" w:rsidRDefault="004A2235" w:rsidP="004A2235">
      <w:pPr>
        <w:numPr>
          <w:ilvl w:val="0"/>
          <w:numId w:val="34"/>
        </w:numPr>
        <w:spacing w:after="44" w:line="268" w:lineRule="auto"/>
        <w:ind w:right="5" w:hanging="360"/>
      </w:pPr>
      <w:r>
        <w:rPr>
          <w:b/>
        </w:rPr>
        <w:t>Catherine Dunnet</w:t>
      </w:r>
      <w:r>
        <w:t xml:space="preserve">, retired clinical service manager, adult acute services, NHS Greater Glasgow and Clyde </w:t>
      </w:r>
    </w:p>
    <w:p w14:paraId="591C7050" w14:textId="257B8A98" w:rsidR="004A2235" w:rsidRDefault="004A2235" w:rsidP="004A2235">
      <w:pPr>
        <w:numPr>
          <w:ilvl w:val="0"/>
          <w:numId w:val="34"/>
        </w:numPr>
        <w:spacing w:after="44" w:line="268" w:lineRule="auto"/>
        <w:ind w:right="5" w:hanging="360"/>
      </w:pPr>
      <w:r>
        <w:rPr>
          <w:b/>
        </w:rPr>
        <w:t>Sonja Jacobs</w:t>
      </w:r>
      <w:r>
        <w:t xml:space="preserve">, speech and language therapist lead for complex needs, Barts Health NHS Trust </w:t>
      </w:r>
    </w:p>
    <w:p w14:paraId="330DA2ED" w14:textId="77777777" w:rsidR="004A2235" w:rsidRDefault="004A2235" w:rsidP="004A2235">
      <w:pPr>
        <w:numPr>
          <w:ilvl w:val="0"/>
          <w:numId w:val="34"/>
        </w:numPr>
        <w:spacing w:after="41" w:line="268" w:lineRule="auto"/>
        <w:ind w:right="5" w:hanging="360"/>
      </w:pPr>
      <w:r>
        <w:rPr>
          <w:b/>
        </w:rPr>
        <w:t>Tracy Lazenby-Paterson</w:t>
      </w:r>
      <w:r>
        <w:t xml:space="preserve">, speech and language therapist, team co-ordinator, NHS Lothian </w:t>
      </w:r>
    </w:p>
    <w:p w14:paraId="2D302D39" w14:textId="77777777" w:rsidR="004A2235" w:rsidRDefault="004A2235" w:rsidP="004A2235">
      <w:pPr>
        <w:numPr>
          <w:ilvl w:val="0"/>
          <w:numId w:val="34"/>
        </w:numPr>
        <w:spacing w:after="13" w:line="268" w:lineRule="auto"/>
        <w:ind w:right="5" w:hanging="360"/>
      </w:pPr>
      <w:r>
        <w:rPr>
          <w:b/>
        </w:rPr>
        <w:t>Samantha Littlefair</w:t>
      </w:r>
      <w:r>
        <w:t xml:space="preserve">, senior lecturer, De Montfort University Leicester </w:t>
      </w:r>
    </w:p>
    <w:p w14:paraId="2C43B65B" w14:textId="77777777" w:rsidR="004A2235" w:rsidRDefault="004A2235" w:rsidP="004A2235">
      <w:pPr>
        <w:numPr>
          <w:ilvl w:val="0"/>
          <w:numId w:val="34"/>
        </w:numPr>
        <w:spacing w:after="0" w:line="268" w:lineRule="auto"/>
        <w:ind w:right="5" w:hanging="360"/>
      </w:pPr>
      <w:r>
        <w:rPr>
          <w:b/>
        </w:rPr>
        <w:t>Joan Ma</w:t>
      </w:r>
      <w:r>
        <w:t xml:space="preserve">, lecturer and programme Leader for BSc Speech and Language Therapy and </w:t>
      </w:r>
    </w:p>
    <w:p w14:paraId="3CB781F2" w14:textId="77777777" w:rsidR="004A2235" w:rsidRDefault="004A2235" w:rsidP="004A2235">
      <w:pPr>
        <w:spacing w:after="52"/>
        <w:ind w:left="14" w:right="187"/>
        <w:jc w:val="center"/>
      </w:pPr>
      <w:r>
        <w:t xml:space="preserve">Master of Speech and Language Therapy (MSLT), Queen Margaret University </w:t>
      </w:r>
    </w:p>
    <w:p w14:paraId="6701064A" w14:textId="77777777" w:rsidR="004A2235" w:rsidRDefault="004A2235" w:rsidP="004A2235">
      <w:pPr>
        <w:numPr>
          <w:ilvl w:val="0"/>
          <w:numId w:val="34"/>
        </w:numPr>
        <w:spacing w:after="44" w:line="268" w:lineRule="auto"/>
        <w:ind w:right="5" w:hanging="360"/>
      </w:pPr>
      <w:r>
        <w:rPr>
          <w:b/>
        </w:rPr>
        <w:t>Anita Smith</w:t>
      </w:r>
      <w:r>
        <w:t xml:space="preserve">, consultant speech and language therapist, East Sussex Healthcare NHS Trust </w:t>
      </w:r>
    </w:p>
    <w:p w14:paraId="2D5B3BDF" w14:textId="77777777" w:rsidR="004A2235" w:rsidRDefault="004A2235" w:rsidP="004A2235">
      <w:pPr>
        <w:numPr>
          <w:ilvl w:val="0"/>
          <w:numId w:val="34"/>
        </w:numPr>
        <w:spacing w:after="0" w:line="268" w:lineRule="auto"/>
        <w:ind w:right="5" w:hanging="360"/>
      </w:pPr>
      <w:r>
        <w:rPr>
          <w:b/>
        </w:rPr>
        <w:t>Flora Wisdom</w:t>
      </w:r>
      <w:r>
        <w:t xml:space="preserve">, senior lecturer, Plymouth Marjon University </w:t>
      </w:r>
    </w:p>
    <w:p w14:paraId="20149E93" w14:textId="77777777" w:rsidR="004A2235" w:rsidRDefault="004A2235" w:rsidP="004A2235">
      <w:pPr>
        <w:spacing w:after="19"/>
      </w:pPr>
      <w:r>
        <w:rPr>
          <w:sz w:val="22"/>
        </w:rPr>
        <w:t xml:space="preserve"> </w:t>
      </w:r>
    </w:p>
    <w:p w14:paraId="52142898" w14:textId="77777777" w:rsidR="004A2235" w:rsidRDefault="004A2235" w:rsidP="004A2235">
      <w:pPr>
        <w:ind w:left="-5" w:right="5"/>
      </w:pPr>
      <w:r>
        <w:t xml:space="preserve">Our sincere thanks also go to </w:t>
      </w:r>
      <w:r>
        <w:rPr>
          <w:b/>
        </w:rPr>
        <w:t>all the members</w:t>
      </w:r>
      <w:r>
        <w:t xml:space="preserve"> who took the time to read this document in draft form and provided feedback during the consultation period, which informed the content of this final document. </w:t>
      </w:r>
    </w:p>
    <w:p w14:paraId="6A663C16" w14:textId="77777777" w:rsidR="004A2235" w:rsidRDefault="004A2235" w:rsidP="004A2235">
      <w:pPr>
        <w:spacing w:after="0"/>
        <w:ind w:left="-5" w:right="5"/>
      </w:pPr>
      <w:r>
        <w:t xml:space="preserve">This document has been developed for the entirety of the UK in partnership with </w:t>
      </w:r>
      <w:r>
        <w:rPr>
          <w:b/>
        </w:rPr>
        <w:t xml:space="preserve">Health Education England </w:t>
      </w:r>
      <w:r>
        <w:t xml:space="preserve">and would not have been possible without their support. We would particularly like to thank: </w:t>
      </w:r>
    </w:p>
    <w:p w14:paraId="6F1C1545" w14:textId="77777777" w:rsidR="004A2235" w:rsidRDefault="004A2235" w:rsidP="004A2235">
      <w:pPr>
        <w:spacing w:after="52"/>
      </w:pPr>
      <w:r>
        <w:t xml:space="preserve"> </w:t>
      </w:r>
    </w:p>
    <w:p w14:paraId="2368ECE2" w14:textId="77777777" w:rsidR="004A2235" w:rsidRDefault="004A2235" w:rsidP="004A2235">
      <w:pPr>
        <w:numPr>
          <w:ilvl w:val="0"/>
          <w:numId w:val="34"/>
        </w:numPr>
        <w:spacing w:after="41" w:line="268" w:lineRule="auto"/>
        <w:ind w:right="5" w:hanging="360"/>
      </w:pPr>
      <w:r>
        <w:rPr>
          <w:b/>
        </w:rPr>
        <w:t>Beverley Harden</w:t>
      </w:r>
      <w:r>
        <w:t xml:space="preserve"> FCSP, allied health professions lead, Health Education England; deputy chief allied health professions officer, England; visiting professor, University of Winchester </w:t>
      </w:r>
    </w:p>
    <w:p w14:paraId="0B545479" w14:textId="77777777" w:rsidR="004A2235" w:rsidRDefault="004A2235" w:rsidP="004A2235">
      <w:pPr>
        <w:numPr>
          <w:ilvl w:val="0"/>
          <w:numId w:val="34"/>
        </w:numPr>
        <w:spacing w:after="53"/>
        <w:ind w:right="5" w:hanging="360"/>
      </w:pPr>
      <w:r>
        <w:rPr>
          <w:b/>
        </w:rPr>
        <w:lastRenderedPageBreak/>
        <w:t>Sharon Kibble</w:t>
      </w:r>
      <w:r>
        <w:t xml:space="preserve">, assistant project manager – National Allied Health Professions Programme, Health Education England; research fellow – faculty of health &amp; wellbeing, University of Winchester </w:t>
      </w:r>
    </w:p>
    <w:p w14:paraId="3D396C8A" w14:textId="77777777" w:rsidR="004A2235" w:rsidRDefault="004A2235" w:rsidP="004A2235">
      <w:pPr>
        <w:numPr>
          <w:ilvl w:val="0"/>
          <w:numId w:val="34"/>
        </w:numPr>
        <w:spacing w:after="44" w:line="268" w:lineRule="auto"/>
        <w:ind w:right="5" w:hanging="360"/>
      </w:pPr>
      <w:r>
        <w:rPr>
          <w:b/>
        </w:rPr>
        <w:t>Jan Zietara</w:t>
      </w:r>
      <w:r>
        <w:t xml:space="preserve">, national programme lead – advancing practice, allied health professions, dementia and end of life care, Health Education England </w:t>
      </w:r>
    </w:p>
    <w:p w14:paraId="5F05C804" w14:textId="77777777" w:rsidR="004A2235" w:rsidRDefault="004A2235" w:rsidP="004A2235">
      <w:pPr>
        <w:numPr>
          <w:ilvl w:val="0"/>
          <w:numId w:val="34"/>
        </w:numPr>
        <w:spacing w:after="13" w:line="268" w:lineRule="auto"/>
        <w:ind w:right="5" w:hanging="360"/>
      </w:pPr>
      <w:r>
        <w:rPr>
          <w:b/>
        </w:rPr>
        <w:t>Carrie Biddle</w:t>
      </w:r>
      <w:r>
        <w:t xml:space="preserve">, regional head of allied health professions, Health Education England  </w:t>
      </w:r>
    </w:p>
    <w:p w14:paraId="7BD73224" w14:textId="77777777" w:rsidR="004A2235" w:rsidRDefault="004A2235" w:rsidP="004A2235">
      <w:pPr>
        <w:numPr>
          <w:ilvl w:val="0"/>
          <w:numId w:val="34"/>
        </w:numPr>
        <w:spacing w:after="275" w:line="268" w:lineRule="auto"/>
        <w:ind w:right="5" w:hanging="360"/>
      </w:pPr>
      <w:r>
        <w:rPr>
          <w:b/>
        </w:rPr>
        <w:t>Jane Gardner-Florence</w:t>
      </w:r>
      <w:r>
        <w:t xml:space="preserve">, communications and engagement manager – allied health professions/advanced clinical practice, Health Education England </w:t>
      </w:r>
    </w:p>
    <w:p w14:paraId="09AB967A" w14:textId="77777777" w:rsidR="004A2235" w:rsidRDefault="004A2235" w:rsidP="004A2235">
      <w:pPr>
        <w:spacing w:after="337"/>
        <w:ind w:left="-5" w:right="5"/>
      </w:pPr>
      <w:r>
        <w:t xml:space="preserve">We are also grateful for the continued support from and generosity of our </w:t>
      </w:r>
      <w:r>
        <w:rPr>
          <w:b/>
        </w:rPr>
        <w:t>Mutual Recognition Agreement (MRA) partners</w:t>
      </w:r>
      <w:r>
        <w:t xml:space="preserve">: </w:t>
      </w:r>
    </w:p>
    <w:p w14:paraId="16B8827E" w14:textId="77777777" w:rsidR="004A2235" w:rsidRDefault="004A2235" w:rsidP="004A2235">
      <w:pPr>
        <w:numPr>
          <w:ilvl w:val="0"/>
          <w:numId w:val="34"/>
        </w:numPr>
        <w:spacing w:after="68" w:line="268" w:lineRule="auto"/>
        <w:ind w:right="5" w:hanging="360"/>
      </w:pPr>
      <w:r>
        <w:rPr>
          <w:b/>
        </w:rPr>
        <w:t>Anne Healy</w:t>
      </w:r>
      <w:r>
        <w:t xml:space="preserve">, speech and language therapist manager, Beaumont Hospital, MRA representative, Irish Association of Speech and Language Therapists </w:t>
      </w:r>
    </w:p>
    <w:p w14:paraId="3F72C9C8" w14:textId="4F6AB75A" w:rsidR="004A2235" w:rsidRDefault="004A2235" w:rsidP="004A2235">
      <w:pPr>
        <w:numPr>
          <w:ilvl w:val="0"/>
          <w:numId w:val="34"/>
        </w:numPr>
        <w:spacing w:after="0" w:line="268" w:lineRule="auto"/>
        <w:ind w:right="5" w:hanging="360"/>
      </w:pPr>
      <w:r>
        <w:rPr>
          <w:b/>
        </w:rPr>
        <w:t>Vickie Kirkpatrick</w:t>
      </w:r>
      <w:r>
        <w:t xml:space="preserve">, senior speech and language therapist, Cope Foundation; former </w:t>
      </w:r>
    </w:p>
    <w:p w14:paraId="31B3C55D" w14:textId="77777777" w:rsidR="004A2235" w:rsidRDefault="004A2235" w:rsidP="004A2235">
      <w:pPr>
        <w:ind w:left="730" w:right="5"/>
      </w:pPr>
      <w:r>
        <w:t xml:space="preserve">Chair of Irish Association of Speech and Language Therapists </w:t>
      </w:r>
    </w:p>
    <w:p w14:paraId="58A7541B" w14:textId="77777777" w:rsidR="004A2235" w:rsidRDefault="004A2235" w:rsidP="004A2235">
      <w:pPr>
        <w:numPr>
          <w:ilvl w:val="0"/>
          <w:numId w:val="34"/>
        </w:numPr>
        <w:spacing w:after="68" w:line="268" w:lineRule="auto"/>
        <w:ind w:right="5" w:hanging="360"/>
      </w:pPr>
      <w:r>
        <w:rPr>
          <w:b/>
        </w:rPr>
        <w:t>Edel Dunphy</w:t>
      </w:r>
      <w:r>
        <w:t xml:space="preserve">, professional development manager, Irish Association of Speech and Language Therapists </w:t>
      </w:r>
    </w:p>
    <w:p w14:paraId="2652690D" w14:textId="77777777" w:rsidR="004A2235" w:rsidRDefault="004A2235" w:rsidP="004A2235">
      <w:pPr>
        <w:numPr>
          <w:ilvl w:val="0"/>
          <w:numId w:val="34"/>
        </w:numPr>
        <w:spacing w:after="34" w:line="268" w:lineRule="auto"/>
        <w:ind w:right="5" w:hanging="360"/>
      </w:pPr>
      <w:r>
        <w:rPr>
          <w:b/>
        </w:rPr>
        <w:t>Stacey Baldac</w:t>
      </w:r>
      <w:r>
        <w:t xml:space="preserve">, manager professional standards, Speech Pathology Australia </w:t>
      </w:r>
    </w:p>
    <w:p w14:paraId="4294D803" w14:textId="77777777" w:rsidR="004A2235" w:rsidRDefault="004A2235" w:rsidP="004A2235">
      <w:pPr>
        <w:numPr>
          <w:ilvl w:val="0"/>
          <w:numId w:val="34"/>
        </w:numPr>
        <w:spacing w:after="32" w:line="268" w:lineRule="auto"/>
        <w:ind w:right="5" w:hanging="360"/>
      </w:pPr>
      <w:r>
        <w:rPr>
          <w:b/>
        </w:rPr>
        <w:t>Diana Russo</w:t>
      </w:r>
      <w:r>
        <w:t xml:space="preserve">, senior adviser professional standards, Speech Pathology Australia </w:t>
      </w:r>
    </w:p>
    <w:p w14:paraId="632FBF15" w14:textId="77777777" w:rsidR="004A2235" w:rsidRDefault="004A2235" w:rsidP="004A2235">
      <w:pPr>
        <w:numPr>
          <w:ilvl w:val="0"/>
          <w:numId w:val="34"/>
        </w:numPr>
        <w:spacing w:after="68" w:line="268" w:lineRule="auto"/>
        <w:ind w:right="5" w:hanging="360"/>
      </w:pPr>
      <w:r>
        <w:rPr>
          <w:b/>
        </w:rPr>
        <w:t>Gretchen Ehret</w:t>
      </w:r>
      <w:r>
        <w:t xml:space="preserve">, associate director of certification, programs, American </w:t>
      </w:r>
      <w:proofErr w:type="spellStart"/>
      <w:r>
        <w:t>SpeechLanguage</w:t>
      </w:r>
      <w:proofErr w:type="spellEnd"/>
      <w:r>
        <w:t xml:space="preserve">-Hearing Association </w:t>
      </w:r>
    </w:p>
    <w:p w14:paraId="39C27A39" w14:textId="77777777" w:rsidR="004A2235" w:rsidRDefault="004A2235" w:rsidP="004A2235">
      <w:pPr>
        <w:numPr>
          <w:ilvl w:val="0"/>
          <w:numId w:val="34"/>
        </w:numPr>
        <w:spacing w:after="68" w:line="268" w:lineRule="auto"/>
        <w:ind w:right="5" w:hanging="360"/>
      </w:pPr>
      <w:r>
        <w:rPr>
          <w:b/>
        </w:rPr>
        <w:t>Todd Philbrick</w:t>
      </w:r>
      <w:r>
        <w:t xml:space="preserve">, director of certification, American Speech-Language-Hearing Association </w:t>
      </w:r>
    </w:p>
    <w:p w14:paraId="74D79E44" w14:textId="77777777" w:rsidR="004A2235" w:rsidRDefault="004A2235" w:rsidP="004A2235">
      <w:pPr>
        <w:numPr>
          <w:ilvl w:val="0"/>
          <w:numId w:val="34"/>
        </w:numPr>
        <w:spacing w:after="68" w:line="268" w:lineRule="auto"/>
        <w:ind w:right="5" w:hanging="360"/>
      </w:pPr>
      <w:r>
        <w:rPr>
          <w:b/>
        </w:rPr>
        <w:t>Meredith Wright</w:t>
      </w:r>
      <w:r>
        <w:t xml:space="preserve">, director of speech-language pathology and communication health assistants, Speech-Language and Audiology Canada </w:t>
      </w:r>
    </w:p>
    <w:p w14:paraId="0EDF9470" w14:textId="77777777" w:rsidR="004A2235" w:rsidRDefault="004A2235" w:rsidP="004A2235">
      <w:pPr>
        <w:numPr>
          <w:ilvl w:val="0"/>
          <w:numId w:val="34"/>
        </w:numPr>
        <w:spacing w:after="289" w:line="268" w:lineRule="auto"/>
        <w:ind w:right="5" w:hanging="360"/>
      </w:pPr>
      <w:r>
        <w:rPr>
          <w:b/>
        </w:rPr>
        <w:t>Anna Miles</w:t>
      </w:r>
      <w:r>
        <w:t xml:space="preserve">, vice president and professional standards portfolio holder, executive council, New Zealand Speech-language Therapists' Association </w:t>
      </w:r>
    </w:p>
    <w:p w14:paraId="324E3839" w14:textId="77777777" w:rsidR="004A2235" w:rsidRDefault="004A2235" w:rsidP="004A2235">
      <w:pPr>
        <w:spacing w:after="288"/>
        <w:ind w:left="-5" w:right="5"/>
      </w:pPr>
      <w:r>
        <w:t xml:space="preserve">We are also grateful for the generosity of </w:t>
      </w:r>
      <w:r>
        <w:rPr>
          <w:b/>
        </w:rPr>
        <w:t>Áine Kearns</w:t>
      </w:r>
      <w:r>
        <w:t xml:space="preserve">, lecturer in speech and language therapy at University of Limerick, in sharing the learning from the Republic of Ireland. </w:t>
      </w:r>
    </w:p>
    <w:p w14:paraId="1487B38F" w14:textId="77777777" w:rsidR="003F7E2B" w:rsidRDefault="004A2235" w:rsidP="00F05245">
      <w:pPr>
        <w:ind w:left="-5" w:right="5"/>
      </w:pPr>
      <w:r>
        <w:t xml:space="preserve">Lastly, we would like to thank </w:t>
      </w:r>
      <w:r>
        <w:rPr>
          <w:b/>
        </w:rPr>
        <w:t>Pádraigín O’Flynn</w:t>
      </w:r>
      <w:r>
        <w:t xml:space="preserve">, external affairs assistant at the RCSLT, for providing invaluable communication and project support during the development of these competencies. </w:t>
      </w:r>
    </w:p>
    <w:p w14:paraId="5FC6AA9E" w14:textId="77777777" w:rsidR="003F7E2B" w:rsidRDefault="003F7E2B" w:rsidP="00F05245">
      <w:pPr>
        <w:ind w:left="-5" w:right="5"/>
      </w:pPr>
      <w:r>
        <w:t>Thank you to the following people who supported the minor update in 2025:</w:t>
      </w:r>
    </w:p>
    <w:p w14:paraId="41492BA1" w14:textId="3366A605" w:rsidR="003F7E2B" w:rsidRDefault="003F7E2B" w:rsidP="003F7E2B">
      <w:pPr>
        <w:pStyle w:val="ListParagraph"/>
        <w:numPr>
          <w:ilvl w:val="0"/>
          <w:numId w:val="36"/>
        </w:numPr>
        <w:ind w:right="5"/>
      </w:pPr>
      <w:r w:rsidRPr="00A17230">
        <w:rPr>
          <w:b/>
          <w:bCs/>
        </w:rPr>
        <w:t>Jo Sandiford</w:t>
      </w:r>
      <w:r w:rsidR="004C0732">
        <w:t>, Senior lecturer</w:t>
      </w:r>
      <w:r w:rsidR="00D8553D">
        <w:t xml:space="preserve"> and Speech and Language Therapist</w:t>
      </w:r>
      <w:r w:rsidR="00316127">
        <w:t>, Leeds Beckett University</w:t>
      </w:r>
    </w:p>
    <w:p w14:paraId="4A8F9325" w14:textId="7354213D" w:rsidR="003F7E2B" w:rsidRDefault="003F7E2B" w:rsidP="003F7E2B">
      <w:pPr>
        <w:pStyle w:val="ListParagraph"/>
        <w:numPr>
          <w:ilvl w:val="0"/>
          <w:numId w:val="36"/>
        </w:numPr>
        <w:ind w:right="5"/>
      </w:pPr>
      <w:r w:rsidRPr="00A17230">
        <w:rPr>
          <w:b/>
          <w:bCs/>
        </w:rPr>
        <w:lastRenderedPageBreak/>
        <w:t>Maria Rivers</w:t>
      </w:r>
      <w:r w:rsidR="00A03388">
        <w:t>, Lecturer and Speech and Language Therapist, University of Es</w:t>
      </w:r>
      <w:r w:rsidR="00D8553D">
        <w:t>sex</w:t>
      </w:r>
    </w:p>
    <w:p w14:paraId="5DE57EDE" w14:textId="26D62EF2" w:rsidR="00653B8D" w:rsidRDefault="00653B8D" w:rsidP="003F7E2B">
      <w:pPr>
        <w:pStyle w:val="ListParagraph"/>
        <w:numPr>
          <w:ilvl w:val="0"/>
          <w:numId w:val="36"/>
        </w:numPr>
        <w:ind w:right="5"/>
      </w:pPr>
      <w:r w:rsidRPr="00A17230">
        <w:rPr>
          <w:b/>
          <w:bCs/>
        </w:rPr>
        <w:t>Flora Wisdom</w:t>
      </w:r>
      <w:r w:rsidR="00A17230" w:rsidRPr="00A17230">
        <w:rPr>
          <w:b/>
          <w:bCs/>
        </w:rPr>
        <w:t>,</w:t>
      </w:r>
      <w:r w:rsidR="00A17230">
        <w:t xml:space="preserve"> Senior Lecturer, Plymouth Marjon University</w:t>
      </w:r>
    </w:p>
    <w:p w14:paraId="0C5D553A" w14:textId="4C072618" w:rsidR="008D3A19" w:rsidRDefault="008D3A19" w:rsidP="003F7E2B">
      <w:pPr>
        <w:pStyle w:val="ListParagraph"/>
        <w:numPr>
          <w:ilvl w:val="0"/>
          <w:numId w:val="36"/>
        </w:numPr>
        <w:ind w:right="5"/>
      </w:pPr>
      <w:r w:rsidRPr="00A17230">
        <w:rPr>
          <w:b/>
          <w:bCs/>
        </w:rPr>
        <w:t>Alex Mallinson</w:t>
      </w:r>
      <w:r>
        <w:t>, Programme Lead</w:t>
      </w:r>
      <w:r w:rsidR="00240207">
        <w:t>, Senior Lecturer and Professional lead, Plymouth Marjon University</w:t>
      </w:r>
    </w:p>
    <w:p w14:paraId="57F32B1E" w14:textId="26E94414" w:rsidR="00F62526" w:rsidRDefault="00F62526" w:rsidP="003F7E2B">
      <w:pPr>
        <w:pStyle w:val="ListParagraph"/>
        <w:numPr>
          <w:ilvl w:val="0"/>
          <w:numId w:val="36"/>
        </w:numPr>
        <w:ind w:right="5"/>
      </w:pPr>
      <w:r>
        <w:br w:type="page"/>
      </w:r>
    </w:p>
    <w:p w14:paraId="6E43D452" w14:textId="77777777" w:rsidR="004A2235" w:rsidRDefault="004A2235"/>
    <w:p w14:paraId="02970DB8" w14:textId="77777777" w:rsidR="004A2235" w:rsidRDefault="004A2235"/>
    <w:p w14:paraId="26C9F737" w14:textId="203CCF2A" w:rsidR="00302DF9" w:rsidRPr="00302DF9" w:rsidRDefault="0012148D" w:rsidP="00302DF9">
      <w:r>
        <w:rPr>
          <w:noProof/>
        </w:rPr>
        <mc:AlternateContent>
          <mc:Choice Requires="wps">
            <w:drawing>
              <wp:anchor distT="45720" distB="45720" distL="114300" distR="114300" simplePos="0" relativeHeight="251658245" behindDoc="0" locked="0" layoutInCell="1" allowOverlap="1" wp14:anchorId="4013C821" wp14:editId="37EA4516">
                <wp:simplePos x="0" y="0"/>
                <wp:positionH relativeFrom="column">
                  <wp:posOffset>-492125</wp:posOffset>
                </wp:positionH>
                <wp:positionV relativeFrom="paragraph">
                  <wp:posOffset>3697507</wp:posOffset>
                </wp:positionV>
                <wp:extent cx="3056890" cy="2762250"/>
                <wp:effectExtent l="0" t="0" r="0" b="0"/>
                <wp:wrapThrough wrapText="bothSides">
                  <wp:wrapPolygon edited="0">
                    <wp:start x="538" y="99"/>
                    <wp:lineTo x="449" y="21352"/>
                    <wp:lineTo x="21088" y="21352"/>
                    <wp:lineTo x="20999" y="99"/>
                    <wp:lineTo x="538" y="99"/>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762250"/>
                        </a:xfrm>
                        <a:prstGeom prst="rect">
                          <a:avLst/>
                        </a:prstGeom>
                        <a:noFill/>
                        <a:ln w="9525">
                          <a:noFill/>
                          <a:miter lim="800000"/>
                          <a:headEnd/>
                          <a:tailEnd/>
                        </a:ln>
                      </wps:spPr>
                      <wps:txbx>
                        <w:txbxContent>
                          <w:p w14:paraId="7B1B9C64" w14:textId="77777777" w:rsidR="00ED0237" w:rsidRPr="00590BEF" w:rsidRDefault="00ED0237" w:rsidP="00ED0237">
                            <w:pPr>
                              <w:rPr>
                                <w:color w:val="102036"/>
                              </w:rPr>
                            </w:pPr>
                            <w:r w:rsidRPr="00590BEF">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6D4BA8D4" w14:textId="77777777" w:rsidR="00ED0237" w:rsidRPr="00590BEF" w:rsidRDefault="00ED0237" w:rsidP="00ED0237">
                            <w:pPr>
                              <w:rPr>
                                <w:color w:val="102036"/>
                              </w:rPr>
                            </w:pPr>
                          </w:p>
                          <w:p w14:paraId="0A98BAA4" w14:textId="77777777" w:rsidR="009E0E60" w:rsidRPr="00590BEF" w:rsidRDefault="009D537E" w:rsidP="009C70A5">
                            <w:pPr>
                              <w:rPr>
                                <w:color w:val="102036"/>
                              </w:rPr>
                            </w:pPr>
                            <w:hyperlink r:id="rId85" w:history="1">
                              <w:r w:rsidRPr="00590BEF">
                                <w:rPr>
                                  <w:rStyle w:val="Hyperlink"/>
                                  <w:color w:val="102036"/>
                                  <w:u w:val="none"/>
                                </w:rPr>
                                <w:t>rcslt.org</w:t>
                              </w:r>
                            </w:hyperlink>
                            <w:r w:rsidRPr="00590BEF">
                              <w:rPr>
                                <w:color w:val="102036"/>
                              </w:rPr>
                              <w:t xml:space="preserve">  </w:t>
                            </w:r>
                            <w:r w:rsidR="00ED0237" w:rsidRPr="00590BEF">
                              <w:rPr>
                                <w:color w:val="102036"/>
                              </w:rPr>
                              <w:t xml:space="preserve">| </w:t>
                            </w:r>
                            <w:r w:rsidRPr="00590BEF">
                              <w:rPr>
                                <w:color w:val="102036"/>
                              </w:rPr>
                              <w:t xml:space="preserve"> </w:t>
                            </w:r>
                            <w:hyperlink r:id="rId86" w:history="1">
                              <w:r w:rsidRPr="00590BEF">
                                <w:rPr>
                                  <w:rStyle w:val="Hyperlink"/>
                                  <w:color w:val="102036"/>
                                  <w:u w:val="none"/>
                                </w:rPr>
                                <w:t>info@rcslt.org</w:t>
                              </w:r>
                            </w:hyperlink>
                            <w:r w:rsidR="00ED0237" w:rsidRPr="00590BEF">
                              <w:rPr>
                                <w:rStyle w:val="Hyperlink"/>
                                <w:color w:val="102036"/>
                                <w:u w:val="none"/>
                              </w:rPr>
                              <w:t xml:space="preserve">  |  </w:t>
                            </w:r>
                            <w:r w:rsidR="00ED0237" w:rsidRPr="00590BEF">
                              <w:rPr>
                                <w:color w:val="102036"/>
                              </w:rPr>
                              <w:t>@RCSLT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3C821" id="Text Box 2" o:spid="_x0000_s1028" type="#_x0000_t202" style="position:absolute;margin-left:-38.75pt;margin-top:291.15pt;width:240.7pt;height:21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" filled="f" stroked="f">
                <v:textbox>
                  <w:txbxContent>
                    <w:p w14:paraId="7B1B9C64" w14:textId="77777777" w:rsidR="00ED0237" w:rsidRPr="00590BEF" w:rsidRDefault="00ED0237" w:rsidP="00ED0237">
                      <w:pPr>
                        <w:rPr>
                          <w:color w:val="102036"/>
                        </w:rPr>
                      </w:pPr>
                      <w:r w:rsidRPr="00590BEF">
                        <w:rPr>
                          <w:color w:val="102036"/>
                        </w:rPr>
                        <w:t xml:space="preserve">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 </w:t>
                      </w:r>
                    </w:p>
                    <w:p w14:paraId="6D4BA8D4" w14:textId="77777777" w:rsidR="00ED0237" w:rsidRPr="00590BEF" w:rsidRDefault="00ED0237" w:rsidP="00ED0237">
                      <w:pPr>
                        <w:rPr>
                          <w:color w:val="102036"/>
                        </w:rPr>
                      </w:pPr>
                    </w:p>
                    <w:p w14:paraId="0A98BAA4" w14:textId="77777777" w:rsidR="009E0E60" w:rsidRPr="00590BEF" w:rsidRDefault="009D537E" w:rsidP="009C70A5">
                      <w:pPr>
                        <w:rPr>
                          <w:color w:val="102036"/>
                        </w:rPr>
                      </w:pPr>
                      <w:hyperlink r:id="rId87" w:history="1">
                        <w:r w:rsidRPr="00590BEF">
                          <w:rPr>
                            <w:rStyle w:val="Hyperlink"/>
                            <w:color w:val="102036"/>
                            <w:u w:val="none"/>
                          </w:rPr>
                          <w:t>rcslt.org</w:t>
                        </w:r>
                      </w:hyperlink>
                      <w:r w:rsidRPr="00590BEF">
                        <w:rPr>
                          <w:color w:val="102036"/>
                        </w:rPr>
                        <w:t xml:space="preserve">  </w:t>
                      </w:r>
                      <w:r w:rsidR="00ED0237" w:rsidRPr="00590BEF">
                        <w:rPr>
                          <w:color w:val="102036"/>
                        </w:rPr>
                        <w:t xml:space="preserve">| </w:t>
                      </w:r>
                      <w:r w:rsidRPr="00590BEF">
                        <w:rPr>
                          <w:color w:val="102036"/>
                        </w:rPr>
                        <w:t xml:space="preserve"> </w:t>
                      </w:r>
                      <w:hyperlink r:id="rId88" w:history="1">
                        <w:r w:rsidRPr="00590BEF">
                          <w:rPr>
                            <w:rStyle w:val="Hyperlink"/>
                            <w:color w:val="102036"/>
                            <w:u w:val="none"/>
                          </w:rPr>
                          <w:t>info@rcslt.org</w:t>
                        </w:r>
                      </w:hyperlink>
                      <w:r w:rsidR="00ED0237" w:rsidRPr="00590BEF">
                        <w:rPr>
                          <w:rStyle w:val="Hyperlink"/>
                          <w:color w:val="102036"/>
                          <w:u w:val="none"/>
                        </w:rPr>
                        <w:t xml:space="preserve">  |  </w:t>
                      </w:r>
                      <w:r w:rsidR="00ED0237" w:rsidRPr="00590BEF">
                        <w:rPr>
                          <w:color w:val="102036"/>
                        </w:rPr>
                        <w:t>@RCSLT</w:t>
                      </w:r>
                    </w:p>
                  </w:txbxContent>
                </v:textbox>
                <w10:wrap type="through"/>
              </v:shape>
            </w:pict>
          </mc:Fallback>
        </mc:AlternateContent>
      </w:r>
      <w:r w:rsidR="00403CB1">
        <w:rPr>
          <w:noProof/>
        </w:rPr>
        <mc:AlternateContent>
          <mc:Choice Requires="wps">
            <w:drawing>
              <wp:anchor distT="45720" distB="45720" distL="114300" distR="114300" simplePos="0" relativeHeight="251658246" behindDoc="0" locked="0" layoutInCell="1" allowOverlap="1" wp14:anchorId="788DA624" wp14:editId="6D2BB035">
                <wp:simplePos x="0" y="0"/>
                <wp:positionH relativeFrom="column">
                  <wp:posOffset>-490855</wp:posOffset>
                </wp:positionH>
                <wp:positionV relativeFrom="paragraph">
                  <wp:posOffset>7237386</wp:posOffset>
                </wp:positionV>
                <wp:extent cx="4312285" cy="571500"/>
                <wp:effectExtent l="0" t="0" r="0" b="0"/>
                <wp:wrapThrough wrapText="bothSides">
                  <wp:wrapPolygon edited="0">
                    <wp:start x="286" y="0"/>
                    <wp:lineTo x="286" y="20880"/>
                    <wp:lineTo x="21279" y="20880"/>
                    <wp:lineTo x="21279" y="0"/>
                    <wp:lineTo x="286"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571500"/>
                        </a:xfrm>
                        <a:prstGeom prst="rect">
                          <a:avLst/>
                        </a:prstGeom>
                        <a:noFill/>
                        <a:ln w="9525">
                          <a:noFill/>
                          <a:miter lim="800000"/>
                          <a:headEnd/>
                          <a:tailEnd/>
                        </a:ln>
                      </wps:spPr>
                      <wps:txbx>
                        <w:txbxContent>
                          <w:p w14:paraId="029220BB" w14:textId="77777777" w:rsidR="000935AB" w:rsidRPr="009C70A5" w:rsidRDefault="00403CB1" w:rsidP="00C067C8">
                            <w:pPr>
                              <w:ind w:left="142" w:hanging="142"/>
                              <w:rPr>
                                <w:color w:val="FFFFFF" w:themeColor="background1"/>
                              </w:rPr>
                            </w:pPr>
                            <w:r>
                              <w:rPr>
                                <w:noProof/>
                              </w:rPr>
                              <w:drawing>
                                <wp:inline distT="0" distB="0" distL="0" distR="0" wp14:anchorId="1CC982B2" wp14:editId="79A7A8BF">
                                  <wp:extent cx="2186032" cy="546931"/>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rotWithShape="1">
                                          <a:blip r:embed="rId89">
                                            <a:extLst>
                                              <a:ext uri="{28A0092B-C50C-407E-A947-70E740481C1C}">
                                                <a14:useLocalDpi xmlns:a14="http://schemas.microsoft.com/office/drawing/2010/main" val="0"/>
                                              </a:ext>
                                            </a:extLst>
                                          </a:blip>
                                          <a:srcRect l="6744" t="16900" b="15563"/>
                                          <a:stretch/>
                                        </pic:blipFill>
                                        <pic:spPr bwMode="auto">
                                          <a:xfrm>
                                            <a:off x="0" y="0"/>
                                            <a:ext cx="2220226" cy="55548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DA624" id="_x0000_s1029" type="#_x0000_t202" style="position:absolute;margin-left:-38.65pt;margin-top:569.85pt;width:339.55pt;height: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" filled="f" stroked="f">
                <v:textbox>
                  <w:txbxContent>
                    <w:p w14:paraId="029220BB" w14:textId="77777777" w:rsidR="000935AB" w:rsidRPr="009C70A5" w:rsidRDefault="00403CB1" w:rsidP="00C067C8">
                      <w:pPr>
                        <w:ind w:left="142" w:hanging="142"/>
                        <w:rPr>
                          <w:color w:val="FFFFFF" w:themeColor="background1"/>
                        </w:rPr>
                      </w:pPr>
                      <w:r>
                        <w:rPr>
                          <w:noProof/>
                        </w:rPr>
                        <w:drawing>
                          <wp:inline distT="0" distB="0" distL="0" distR="0" wp14:anchorId="1CC982B2" wp14:editId="79A7A8BF">
                            <wp:extent cx="2186032" cy="546931"/>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rotWithShape="1">
                                    <a:blip r:embed="rId89">
                                      <a:extLst>
                                        <a:ext uri="{28A0092B-C50C-407E-A947-70E740481C1C}">
                                          <a14:useLocalDpi xmlns:a14="http://schemas.microsoft.com/office/drawing/2010/main" val="0"/>
                                        </a:ext>
                                      </a:extLst>
                                    </a:blip>
                                    <a:srcRect l="6744" t="16900" b="15563"/>
                                    <a:stretch/>
                                  </pic:blipFill>
                                  <pic:spPr bwMode="auto">
                                    <a:xfrm>
                                      <a:off x="0" y="0"/>
                                      <a:ext cx="2220226" cy="55548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r w:rsidR="00CC3279">
        <w:rPr>
          <w:noProof/>
        </w:rPr>
        <mc:AlternateContent>
          <mc:Choice Requires="wps">
            <w:drawing>
              <wp:anchor distT="0" distB="0" distL="114300" distR="114300" simplePos="0" relativeHeight="251658244" behindDoc="1" locked="0" layoutInCell="1" allowOverlap="1" wp14:anchorId="393A0390" wp14:editId="01A7903F">
                <wp:simplePos x="0" y="0"/>
                <wp:positionH relativeFrom="page">
                  <wp:posOffset>-122830</wp:posOffset>
                </wp:positionH>
                <wp:positionV relativeFrom="page">
                  <wp:posOffset>0</wp:posOffset>
                </wp:positionV>
                <wp:extent cx="7709801" cy="1069200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9801" cy="10692000"/>
                        </a:xfrm>
                        <a:prstGeom prst="rect">
                          <a:avLst/>
                        </a:prstGeom>
                        <a:solidFill>
                          <a:srgbClr val="567AD7"/>
                        </a:solidFill>
                        <a:ln>
                          <a:noFill/>
                        </a:ln>
                      </wps:spPr>
                      <wps:txbx>
                        <w:txbxContent>
                          <w:p w14:paraId="69ACBC22" w14:textId="77777777" w:rsidR="00CC3279" w:rsidRPr="000935AB" w:rsidRDefault="00CC3279" w:rsidP="00CC3279">
                            <w:pPr>
                              <w:rPr>
                                <w:b/>
                                <w:bCs/>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0390" id="Rectangle 2" o:spid="_x0000_s1030" style="position:absolute;margin-left:-9.65pt;margin-top:0;width:607.05pt;height:84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" fillcolor="#567ad7" stroked="f">
                <v:textbox>
                  <w:txbxContent>
                    <w:p w14:paraId="69ACBC22" w14:textId="77777777" w:rsidR="00CC3279" w:rsidRPr="000935AB" w:rsidRDefault="00CC3279" w:rsidP="00CC3279">
                      <w:pPr>
                        <w:rPr>
                          <w:b/>
                          <w:bCs/>
                          <w:color w:val="1CBFD4"/>
                        </w:rPr>
                      </w:pPr>
                    </w:p>
                  </w:txbxContent>
                </v:textbox>
                <w10:wrap anchorx="page" anchory="page"/>
              </v:rect>
            </w:pict>
          </mc:Fallback>
        </mc:AlternateContent>
      </w:r>
    </w:p>
    <w:sectPr w:rsidR="00302DF9" w:rsidRPr="00302DF9" w:rsidSect="00B36B8B">
      <w:headerReference w:type="even" r:id="rId90"/>
      <w:headerReference w:type="default" r:id="rId91"/>
      <w:footerReference w:type="even" r:id="rId92"/>
      <w:footerReference w:type="default" r:id="rId93"/>
      <w:headerReference w:type="first" r:id="rId94"/>
      <w:footerReference w:type="first" r:id="rId95"/>
      <w:pgSz w:w="11906" w:h="16838"/>
      <w:pgMar w:top="226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0EB2" w14:textId="77777777" w:rsidR="00472BBC" w:rsidRDefault="00472BBC" w:rsidP="00B36B8B">
      <w:pPr>
        <w:spacing w:after="0" w:line="240" w:lineRule="auto"/>
      </w:pPr>
      <w:r>
        <w:separator/>
      </w:r>
    </w:p>
  </w:endnote>
  <w:endnote w:type="continuationSeparator" w:id="0">
    <w:p w14:paraId="697A67B0" w14:textId="77777777" w:rsidR="00472BBC" w:rsidRDefault="00472BBC" w:rsidP="00B3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Bold">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italic">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6943" w14:textId="77777777" w:rsidR="00561AC9" w:rsidRDefault="0056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95117"/>
      <w:docPartObj>
        <w:docPartGallery w:val="Page Numbers (Bottom of Page)"/>
        <w:docPartUnique/>
      </w:docPartObj>
    </w:sdtPr>
    <w:sdtEndPr>
      <w:rPr>
        <w:noProof/>
      </w:rPr>
    </w:sdtEndPr>
    <w:sdtContent>
      <w:p w14:paraId="2B80AB8B" w14:textId="77777777" w:rsidR="009A617A" w:rsidRDefault="009A617A">
        <w:pPr>
          <w:pStyle w:val="Footer"/>
          <w:jc w:val="right"/>
        </w:pPr>
        <w:r>
          <w:t xml:space="preserve"> </w:t>
        </w:r>
        <w:r w:rsidR="00403CB1">
          <w:t>rcslt.org</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241BBCE" w14:textId="77777777" w:rsidR="009A617A" w:rsidRDefault="009A617A" w:rsidP="009A617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9F22" w14:textId="77777777" w:rsidR="00561AC9" w:rsidRDefault="00561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F7F9" w14:textId="77777777" w:rsidR="00472BBC" w:rsidRDefault="00472BBC" w:rsidP="00B36B8B">
      <w:pPr>
        <w:spacing w:after="0" w:line="240" w:lineRule="auto"/>
      </w:pPr>
      <w:r>
        <w:separator/>
      </w:r>
    </w:p>
  </w:footnote>
  <w:footnote w:type="continuationSeparator" w:id="0">
    <w:p w14:paraId="56AB7E05" w14:textId="77777777" w:rsidR="00472BBC" w:rsidRDefault="00472BBC" w:rsidP="00B3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B2E5" w14:textId="77777777" w:rsidR="00053CDA" w:rsidRDefault="00053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F2EC" w14:textId="25BC73DF" w:rsidR="002731E0" w:rsidRDefault="00403CB1" w:rsidP="002731E0">
    <w:pPr>
      <w:spacing w:after="0" w:line="240" w:lineRule="auto"/>
      <w:ind w:left="20"/>
    </w:pPr>
    <w:r>
      <w:rPr>
        <w:noProof/>
      </w:rPr>
      <w:drawing>
        <wp:anchor distT="0" distB="0" distL="114300" distR="114300" simplePos="0" relativeHeight="251658243" behindDoc="0" locked="0" layoutInCell="1" allowOverlap="1" wp14:anchorId="26562FD8" wp14:editId="53762911">
          <wp:simplePos x="0" y="0"/>
          <wp:positionH relativeFrom="margin">
            <wp:posOffset>3942715</wp:posOffset>
          </wp:positionH>
          <wp:positionV relativeFrom="paragraph">
            <wp:posOffset>-150204</wp:posOffset>
          </wp:positionV>
          <wp:extent cx="2050991" cy="708689"/>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991" cy="708689"/>
                  </a:xfrm>
                  <a:prstGeom prst="rect">
                    <a:avLst/>
                  </a:prstGeom>
                  <a:noFill/>
                  <a:ln>
                    <a:noFill/>
                  </a:ln>
                </pic:spPr>
              </pic:pic>
            </a:graphicData>
          </a:graphic>
          <wp14:sizeRelH relativeFrom="page">
            <wp14:pctWidth>0</wp14:pctWidth>
          </wp14:sizeRelH>
          <wp14:sizeRelV relativeFrom="page">
            <wp14:pctHeight>0</wp14:pctHeight>
          </wp14:sizeRelV>
        </wp:anchor>
      </w:drawing>
    </w:r>
    <w:r w:rsidR="002731E0" w:rsidRPr="002731E0">
      <w:t>RCSLT competencies in eating, drinking, and swallowing</w:t>
    </w:r>
  </w:p>
  <w:p w14:paraId="68ECA32E" w14:textId="77777777" w:rsidR="002731E0" w:rsidRDefault="002731E0" w:rsidP="002731E0">
    <w:pPr>
      <w:spacing w:after="0" w:line="240" w:lineRule="auto"/>
      <w:ind w:left="20"/>
    </w:pPr>
    <w:r w:rsidRPr="002731E0">
      <w:t>for the pre-registration education and training of</w:t>
    </w:r>
  </w:p>
  <w:p w14:paraId="3E69BE9C" w14:textId="78AEE74E" w:rsidR="009A617A" w:rsidRDefault="002731E0" w:rsidP="002731E0">
    <w:pPr>
      <w:spacing w:after="0" w:line="240" w:lineRule="auto"/>
      <w:ind w:left="20"/>
    </w:pPr>
    <w:r w:rsidRPr="002731E0">
      <w:t>speech and language therapists</w:t>
    </w:r>
    <w:r w:rsidR="009A617A">
      <w:t xml:space="preserve"> </w:t>
    </w:r>
  </w:p>
  <w:p w14:paraId="3ECD7683" w14:textId="7FBEFF8D" w:rsidR="00EC6A32" w:rsidRDefault="00EC6A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8FC" w14:textId="77777777" w:rsidR="00053CDA" w:rsidRDefault="00053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B00"/>
    <w:multiLevelType w:val="hybridMultilevel"/>
    <w:tmpl w:val="4DCC1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405A4"/>
    <w:multiLevelType w:val="hybridMultilevel"/>
    <w:tmpl w:val="4BDE0C4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F50E7F"/>
    <w:multiLevelType w:val="multilevel"/>
    <w:tmpl w:val="34E8F8F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E0065B"/>
    <w:multiLevelType w:val="hybridMultilevel"/>
    <w:tmpl w:val="C95ED5F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386D49"/>
    <w:multiLevelType w:val="hybridMultilevel"/>
    <w:tmpl w:val="5626832E"/>
    <w:lvl w:ilvl="0" w:tplc="F696A0EE">
      <w:start w:val="1"/>
      <w:numFmt w:val="decimal"/>
      <w:lvlText w:val="%1."/>
      <w:lvlJc w:val="left"/>
      <w:pPr>
        <w:ind w:left="108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FED4922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08D99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58C96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F81D2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7C58F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41D9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FEA73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44AB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AE03D1"/>
    <w:multiLevelType w:val="hybridMultilevel"/>
    <w:tmpl w:val="11B2183A"/>
    <w:lvl w:ilvl="0" w:tplc="D7460F9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8A5B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404A6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4002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2624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6F6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9E1A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D02E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5CF7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D81F2B"/>
    <w:multiLevelType w:val="hybridMultilevel"/>
    <w:tmpl w:val="CA4E9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35B1D"/>
    <w:multiLevelType w:val="hybridMultilevel"/>
    <w:tmpl w:val="4EA22C62"/>
    <w:lvl w:ilvl="0" w:tplc="29FAB9B4">
      <w:start w:val="1"/>
      <w:numFmt w:val="decimal"/>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7E3B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3ACEA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E0C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04384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06B09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72BD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4A25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BA43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9C72B4"/>
    <w:multiLevelType w:val="hybridMultilevel"/>
    <w:tmpl w:val="559CD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5267A"/>
    <w:multiLevelType w:val="hybridMultilevel"/>
    <w:tmpl w:val="F9B42C12"/>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432C92"/>
    <w:multiLevelType w:val="hybridMultilevel"/>
    <w:tmpl w:val="B0FE745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78169E"/>
    <w:multiLevelType w:val="multilevel"/>
    <w:tmpl w:val="DAB271C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2E15129"/>
    <w:multiLevelType w:val="hybridMultilevel"/>
    <w:tmpl w:val="AEF80818"/>
    <w:lvl w:ilvl="0" w:tplc="9112039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702295"/>
    <w:multiLevelType w:val="hybridMultilevel"/>
    <w:tmpl w:val="3146B2F4"/>
    <w:lvl w:ilvl="0" w:tplc="BE3464AA">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71DEA"/>
    <w:multiLevelType w:val="hybridMultilevel"/>
    <w:tmpl w:val="AA724D3A"/>
    <w:lvl w:ilvl="0" w:tplc="33581D0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0605BE">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98C99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6C939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58BAE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3E493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664E0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BAA2B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4C65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0542AE"/>
    <w:multiLevelType w:val="hybridMultilevel"/>
    <w:tmpl w:val="C1E2952A"/>
    <w:lvl w:ilvl="0" w:tplc="FC46944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4876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5EF9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B087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220C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077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E848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94E5C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80E2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594EAE"/>
    <w:multiLevelType w:val="hybridMultilevel"/>
    <w:tmpl w:val="7D360B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74DFF"/>
    <w:multiLevelType w:val="hybridMultilevel"/>
    <w:tmpl w:val="CD56039A"/>
    <w:lvl w:ilvl="0" w:tplc="6B7280C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0EAF7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1494F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78FB1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DC25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4494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3ABF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DC5E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9A9F0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053C9B"/>
    <w:multiLevelType w:val="hybridMultilevel"/>
    <w:tmpl w:val="7B7E0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182D8B"/>
    <w:multiLevelType w:val="hybridMultilevel"/>
    <w:tmpl w:val="D362F9EA"/>
    <w:lvl w:ilvl="0" w:tplc="3F5ACD2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165A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261DE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56E4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F42B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10A2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F429B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0AAB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A4C2C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C746EA"/>
    <w:multiLevelType w:val="hybridMultilevel"/>
    <w:tmpl w:val="9C805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2172F"/>
    <w:multiLevelType w:val="hybridMultilevel"/>
    <w:tmpl w:val="1EDC51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C760F6"/>
    <w:multiLevelType w:val="hybridMultilevel"/>
    <w:tmpl w:val="FDA093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712C22"/>
    <w:multiLevelType w:val="hybridMultilevel"/>
    <w:tmpl w:val="9C6C6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81657F"/>
    <w:multiLevelType w:val="hybridMultilevel"/>
    <w:tmpl w:val="4EE4D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3E45CE"/>
    <w:multiLevelType w:val="hybridMultilevel"/>
    <w:tmpl w:val="69B852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0BD2226"/>
    <w:multiLevelType w:val="hybridMultilevel"/>
    <w:tmpl w:val="6FB279F6"/>
    <w:lvl w:ilvl="0" w:tplc="684A6A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4E2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9461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B46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A25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F094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2EB7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CAD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5600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7E45A2"/>
    <w:multiLevelType w:val="hybridMultilevel"/>
    <w:tmpl w:val="56242D48"/>
    <w:lvl w:ilvl="0" w:tplc="938028A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7A7E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BC57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2855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865C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FC6B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1C68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6C25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8E48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1A7CA8"/>
    <w:multiLevelType w:val="hybridMultilevel"/>
    <w:tmpl w:val="B0FE745C"/>
    <w:lvl w:ilvl="0" w:tplc="13DE8958">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17738"/>
    <w:multiLevelType w:val="hybridMultilevel"/>
    <w:tmpl w:val="F4B8DAE2"/>
    <w:lvl w:ilvl="0" w:tplc="B6B82A2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DAF6A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20659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ACD96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D494A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7AA57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7A796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C27E4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B2B36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2C0A67"/>
    <w:multiLevelType w:val="hybridMultilevel"/>
    <w:tmpl w:val="51C2F1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792358"/>
    <w:multiLevelType w:val="hybridMultilevel"/>
    <w:tmpl w:val="574EA5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546CBD"/>
    <w:multiLevelType w:val="hybridMultilevel"/>
    <w:tmpl w:val="F15CF7E2"/>
    <w:lvl w:ilvl="0" w:tplc="3DC41476">
      <w:start w:val="1"/>
      <w:numFmt w:val="decimal"/>
      <w:lvlText w:val="%1."/>
      <w:lvlJc w:val="left"/>
      <w:pPr>
        <w:ind w:left="361"/>
      </w:pPr>
      <w:rPr>
        <w:rFonts w:ascii="Open Sans" w:eastAsia="Calibri" w:hAnsi="Open Sans" w:cs="Open Sans" w:hint="default"/>
        <w:b w:val="0"/>
        <w:i w:val="0"/>
        <w:strike w:val="0"/>
        <w:dstrike w:val="0"/>
        <w:color w:val="000000"/>
        <w:sz w:val="16"/>
        <w:szCs w:val="16"/>
        <w:u w:val="none" w:color="000000"/>
        <w:bdr w:val="none" w:sz="0" w:space="0" w:color="auto"/>
        <w:shd w:val="clear" w:color="auto" w:fill="auto"/>
        <w:vertAlign w:val="baseline"/>
      </w:rPr>
    </w:lvl>
    <w:lvl w:ilvl="1" w:tplc="7D26B28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76880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2483D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CA3AD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4DB0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483CB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00B656">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BCCEB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F9E4984"/>
    <w:multiLevelType w:val="hybridMultilevel"/>
    <w:tmpl w:val="06345DD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90258E"/>
    <w:multiLevelType w:val="hybridMultilevel"/>
    <w:tmpl w:val="2B18C60C"/>
    <w:lvl w:ilvl="0" w:tplc="E13672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65FB1"/>
    <w:multiLevelType w:val="hybridMultilevel"/>
    <w:tmpl w:val="CB42207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76A01B1B"/>
    <w:multiLevelType w:val="hybridMultilevel"/>
    <w:tmpl w:val="3D80BF68"/>
    <w:lvl w:ilvl="0" w:tplc="9092CC68">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5023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109FD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6E1DA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8A98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22C2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3C4D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50A7E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D64C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C67329"/>
    <w:multiLevelType w:val="hybridMultilevel"/>
    <w:tmpl w:val="5AF02018"/>
    <w:lvl w:ilvl="0" w:tplc="B30E9ED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0CCB9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613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78958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B2F3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BC68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8C92E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98D3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68CB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6A234D"/>
    <w:multiLevelType w:val="hybridMultilevel"/>
    <w:tmpl w:val="C95ED5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844496"/>
    <w:multiLevelType w:val="multilevel"/>
    <w:tmpl w:val="052CE24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8354640">
    <w:abstractNumId w:val="37"/>
  </w:num>
  <w:num w:numId="2" w16cid:durableId="734817732">
    <w:abstractNumId w:val="19"/>
  </w:num>
  <w:num w:numId="3" w16cid:durableId="1251500119">
    <w:abstractNumId w:val="36"/>
  </w:num>
  <w:num w:numId="4" w16cid:durableId="888540543">
    <w:abstractNumId w:val="29"/>
  </w:num>
  <w:num w:numId="5" w16cid:durableId="989528511">
    <w:abstractNumId w:val="27"/>
  </w:num>
  <w:num w:numId="6" w16cid:durableId="1802115529">
    <w:abstractNumId w:val="15"/>
  </w:num>
  <w:num w:numId="7" w16cid:durableId="1616207638">
    <w:abstractNumId w:val="7"/>
  </w:num>
  <w:num w:numId="8" w16cid:durableId="1799178992">
    <w:abstractNumId w:val="14"/>
  </w:num>
  <w:num w:numId="9" w16cid:durableId="54667782">
    <w:abstractNumId w:val="5"/>
  </w:num>
  <w:num w:numId="10" w16cid:durableId="1585799062">
    <w:abstractNumId w:val="17"/>
  </w:num>
  <w:num w:numId="11" w16cid:durableId="1837768224">
    <w:abstractNumId w:val="34"/>
  </w:num>
  <w:num w:numId="12" w16cid:durableId="2066685637">
    <w:abstractNumId w:val="38"/>
  </w:num>
  <w:num w:numId="13" w16cid:durableId="833448888">
    <w:abstractNumId w:val="23"/>
  </w:num>
  <w:num w:numId="14" w16cid:durableId="1654485104">
    <w:abstractNumId w:val="39"/>
  </w:num>
  <w:num w:numId="15" w16cid:durableId="54620773">
    <w:abstractNumId w:val="3"/>
  </w:num>
  <w:num w:numId="16" w16cid:durableId="295575451">
    <w:abstractNumId w:val="22"/>
  </w:num>
  <w:num w:numId="17" w16cid:durableId="1901743413">
    <w:abstractNumId w:val="16"/>
  </w:num>
  <w:num w:numId="18" w16cid:durableId="2007391142">
    <w:abstractNumId w:val="21"/>
  </w:num>
  <w:num w:numId="19" w16cid:durableId="468323023">
    <w:abstractNumId w:val="28"/>
  </w:num>
  <w:num w:numId="20" w16cid:durableId="1641033316">
    <w:abstractNumId w:val="11"/>
  </w:num>
  <w:num w:numId="21" w16cid:durableId="834423142">
    <w:abstractNumId w:val="0"/>
  </w:num>
  <w:num w:numId="22" w16cid:durableId="224100268">
    <w:abstractNumId w:val="20"/>
  </w:num>
  <w:num w:numId="23" w16cid:durableId="1000233742">
    <w:abstractNumId w:val="1"/>
  </w:num>
  <w:num w:numId="24" w16cid:durableId="1205480326">
    <w:abstractNumId w:val="9"/>
  </w:num>
  <w:num w:numId="25" w16cid:durableId="204222865">
    <w:abstractNumId w:val="25"/>
  </w:num>
  <w:num w:numId="26" w16cid:durableId="1975325312">
    <w:abstractNumId w:val="31"/>
  </w:num>
  <w:num w:numId="27" w16cid:durableId="413433614">
    <w:abstractNumId w:val="33"/>
  </w:num>
  <w:num w:numId="28" w16cid:durableId="1918904753">
    <w:abstractNumId w:val="8"/>
  </w:num>
  <w:num w:numId="29" w16cid:durableId="332799204">
    <w:abstractNumId w:val="4"/>
  </w:num>
  <w:num w:numId="30" w16cid:durableId="997539217">
    <w:abstractNumId w:val="18"/>
  </w:num>
  <w:num w:numId="31" w16cid:durableId="1522545145">
    <w:abstractNumId w:val="2"/>
  </w:num>
  <w:num w:numId="32" w16cid:durableId="221870322">
    <w:abstractNumId w:val="10"/>
  </w:num>
  <w:num w:numId="33" w16cid:durableId="1852987992">
    <w:abstractNumId w:val="32"/>
  </w:num>
  <w:num w:numId="34" w16cid:durableId="1713579530">
    <w:abstractNumId w:val="26"/>
  </w:num>
  <w:num w:numId="35" w16cid:durableId="1549612201">
    <w:abstractNumId w:val="35"/>
  </w:num>
  <w:num w:numId="36" w16cid:durableId="1310751342">
    <w:abstractNumId w:val="6"/>
  </w:num>
  <w:num w:numId="37" w16cid:durableId="1241865652">
    <w:abstractNumId w:val="30"/>
  </w:num>
  <w:num w:numId="38" w16cid:durableId="422921662">
    <w:abstractNumId w:val="12"/>
  </w:num>
  <w:num w:numId="39" w16cid:durableId="4746909">
    <w:abstractNumId w:val="13"/>
  </w:num>
  <w:num w:numId="40" w16cid:durableId="3921997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77"/>
    <w:rsid w:val="00000307"/>
    <w:rsid w:val="00002225"/>
    <w:rsid w:val="00005616"/>
    <w:rsid w:val="000202CA"/>
    <w:rsid w:val="00024904"/>
    <w:rsid w:val="00053CDA"/>
    <w:rsid w:val="00054F10"/>
    <w:rsid w:val="00067E24"/>
    <w:rsid w:val="00073BE4"/>
    <w:rsid w:val="00074577"/>
    <w:rsid w:val="00082E53"/>
    <w:rsid w:val="00087468"/>
    <w:rsid w:val="000935AB"/>
    <w:rsid w:val="00095EB6"/>
    <w:rsid w:val="000C15EA"/>
    <w:rsid w:val="000E0C7F"/>
    <w:rsid w:val="000F495A"/>
    <w:rsid w:val="00103561"/>
    <w:rsid w:val="0010517A"/>
    <w:rsid w:val="00110D30"/>
    <w:rsid w:val="00115C11"/>
    <w:rsid w:val="00115CE6"/>
    <w:rsid w:val="0012148D"/>
    <w:rsid w:val="0013756E"/>
    <w:rsid w:val="0014230B"/>
    <w:rsid w:val="00167CFF"/>
    <w:rsid w:val="0017001A"/>
    <w:rsid w:val="001703B9"/>
    <w:rsid w:val="00170661"/>
    <w:rsid w:val="00170B7D"/>
    <w:rsid w:val="001725A2"/>
    <w:rsid w:val="0018274F"/>
    <w:rsid w:val="0018660B"/>
    <w:rsid w:val="001B29E5"/>
    <w:rsid w:val="001B3E5C"/>
    <w:rsid w:val="001D609B"/>
    <w:rsid w:val="001E51A9"/>
    <w:rsid w:val="001F4FAF"/>
    <w:rsid w:val="00233C1D"/>
    <w:rsid w:val="00240207"/>
    <w:rsid w:val="00242AA4"/>
    <w:rsid w:val="00250BF0"/>
    <w:rsid w:val="002731E0"/>
    <w:rsid w:val="002835AA"/>
    <w:rsid w:val="002B084A"/>
    <w:rsid w:val="002C2744"/>
    <w:rsid w:val="002C5778"/>
    <w:rsid w:val="002C5FEC"/>
    <w:rsid w:val="002C6116"/>
    <w:rsid w:val="002D2D87"/>
    <w:rsid w:val="002D528C"/>
    <w:rsid w:val="002E0892"/>
    <w:rsid w:val="002E4117"/>
    <w:rsid w:val="002F4654"/>
    <w:rsid w:val="00302DF9"/>
    <w:rsid w:val="003050D4"/>
    <w:rsid w:val="003128A8"/>
    <w:rsid w:val="003133B8"/>
    <w:rsid w:val="00316127"/>
    <w:rsid w:val="00321EB0"/>
    <w:rsid w:val="003235C7"/>
    <w:rsid w:val="00330F22"/>
    <w:rsid w:val="0035346A"/>
    <w:rsid w:val="00363946"/>
    <w:rsid w:val="0036538A"/>
    <w:rsid w:val="00370DC2"/>
    <w:rsid w:val="00383177"/>
    <w:rsid w:val="003A2BF9"/>
    <w:rsid w:val="003A6681"/>
    <w:rsid w:val="003C06D7"/>
    <w:rsid w:val="003C3982"/>
    <w:rsid w:val="003C661A"/>
    <w:rsid w:val="003D4E78"/>
    <w:rsid w:val="003F6260"/>
    <w:rsid w:val="003F7E2B"/>
    <w:rsid w:val="00402B69"/>
    <w:rsid w:val="00403CB1"/>
    <w:rsid w:val="00424A64"/>
    <w:rsid w:val="0042547E"/>
    <w:rsid w:val="00433411"/>
    <w:rsid w:val="00442904"/>
    <w:rsid w:val="00472BBC"/>
    <w:rsid w:val="00476259"/>
    <w:rsid w:val="00482C73"/>
    <w:rsid w:val="00487A06"/>
    <w:rsid w:val="004A0992"/>
    <w:rsid w:val="004A2235"/>
    <w:rsid w:val="004A5E7B"/>
    <w:rsid w:val="004B5207"/>
    <w:rsid w:val="004B7083"/>
    <w:rsid w:val="004C0732"/>
    <w:rsid w:val="004D166E"/>
    <w:rsid w:val="004D267D"/>
    <w:rsid w:val="004D4614"/>
    <w:rsid w:val="004D4FD4"/>
    <w:rsid w:val="004D605B"/>
    <w:rsid w:val="004D60D4"/>
    <w:rsid w:val="004E2DA4"/>
    <w:rsid w:val="004F764A"/>
    <w:rsid w:val="00501FB1"/>
    <w:rsid w:val="005341BA"/>
    <w:rsid w:val="005341F4"/>
    <w:rsid w:val="00537F07"/>
    <w:rsid w:val="005458FA"/>
    <w:rsid w:val="00561AC9"/>
    <w:rsid w:val="0056269B"/>
    <w:rsid w:val="00564B4D"/>
    <w:rsid w:val="005677E4"/>
    <w:rsid w:val="005704E8"/>
    <w:rsid w:val="00585EE9"/>
    <w:rsid w:val="00590BEF"/>
    <w:rsid w:val="005A33E3"/>
    <w:rsid w:val="005B4776"/>
    <w:rsid w:val="005D0DE2"/>
    <w:rsid w:val="00620719"/>
    <w:rsid w:val="006348DC"/>
    <w:rsid w:val="006379BC"/>
    <w:rsid w:val="00640C10"/>
    <w:rsid w:val="00645496"/>
    <w:rsid w:val="00652803"/>
    <w:rsid w:val="00652B12"/>
    <w:rsid w:val="00653B8D"/>
    <w:rsid w:val="00654E65"/>
    <w:rsid w:val="00657A24"/>
    <w:rsid w:val="00682A70"/>
    <w:rsid w:val="00683B38"/>
    <w:rsid w:val="006855AC"/>
    <w:rsid w:val="0069197E"/>
    <w:rsid w:val="006924DD"/>
    <w:rsid w:val="0069534C"/>
    <w:rsid w:val="006975EA"/>
    <w:rsid w:val="006A7798"/>
    <w:rsid w:val="006B17A5"/>
    <w:rsid w:val="006B739F"/>
    <w:rsid w:val="006C7AE4"/>
    <w:rsid w:val="006D5C0C"/>
    <w:rsid w:val="006D734C"/>
    <w:rsid w:val="006E26FF"/>
    <w:rsid w:val="00704C67"/>
    <w:rsid w:val="00713417"/>
    <w:rsid w:val="00716744"/>
    <w:rsid w:val="00716FB0"/>
    <w:rsid w:val="00721D10"/>
    <w:rsid w:val="00723174"/>
    <w:rsid w:val="00730836"/>
    <w:rsid w:val="00744569"/>
    <w:rsid w:val="007543C5"/>
    <w:rsid w:val="0076495F"/>
    <w:rsid w:val="00772DC5"/>
    <w:rsid w:val="007752A7"/>
    <w:rsid w:val="00794C05"/>
    <w:rsid w:val="00795E8A"/>
    <w:rsid w:val="007A1CED"/>
    <w:rsid w:val="007A3B71"/>
    <w:rsid w:val="007B014A"/>
    <w:rsid w:val="007B4B71"/>
    <w:rsid w:val="007C7DA3"/>
    <w:rsid w:val="007D743C"/>
    <w:rsid w:val="007E2FB9"/>
    <w:rsid w:val="007F5F8A"/>
    <w:rsid w:val="00805CBD"/>
    <w:rsid w:val="00806F24"/>
    <w:rsid w:val="00832405"/>
    <w:rsid w:val="00835668"/>
    <w:rsid w:val="00835768"/>
    <w:rsid w:val="00835BCA"/>
    <w:rsid w:val="00837FAD"/>
    <w:rsid w:val="0086045D"/>
    <w:rsid w:val="008A3CAE"/>
    <w:rsid w:val="008B6F7B"/>
    <w:rsid w:val="008C65B2"/>
    <w:rsid w:val="008D3A19"/>
    <w:rsid w:val="008D4936"/>
    <w:rsid w:val="008E0A4F"/>
    <w:rsid w:val="008E456D"/>
    <w:rsid w:val="008F0161"/>
    <w:rsid w:val="008F2D18"/>
    <w:rsid w:val="00903B3F"/>
    <w:rsid w:val="00913994"/>
    <w:rsid w:val="00913FE5"/>
    <w:rsid w:val="00913FF8"/>
    <w:rsid w:val="0091702A"/>
    <w:rsid w:val="00920994"/>
    <w:rsid w:val="009505E9"/>
    <w:rsid w:val="0095520A"/>
    <w:rsid w:val="009555F0"/>
    <w:rsid w:val="0095687E"/>
    <w:rsid w:val="0096200B"/>
    <w:rsid w:val="00963DB4"/>
    <w:rsid w:val="00964C06"/>
    <w:rsid w:val="0096626E"/>
    <w:rsid w:val="00966E3A"/>
    <w:rsid w:val="00967C45"/>
    <w:rsid w:val="009A34E6"/>
    <w:rsid w:val="009A617A"/>
    <w:rsid w:val="009C70A5"/>
    <w:rsid w:val="009C7348"/>
    <w:rsid w:val="009D537E"/>
    <w:rsid w:val="009D5C51"/>
    <w:rsid w:val="009D7AAF"/>
    <w:rsid w:val="009E0E60"/>
    <w:rsid w:val="009E2EFF"/>
    <w:rsid w:val="009E519B"/>
    <w:rsid w:val="00A03388"/>
    <w:rsid w:val="00A109BF"/>
    <w:rsid w:val="00A17230"/>
    <w:rsid w:val="00A21F3A"/>
    <w:rsid w:val="00A24416"/>
    <w:rsid w:val="00A260FB"/>
    <w:rsid w:val="00A2652D"/>
    <w:rsid w:val="00A274A1"/>
    <w:rsid w:val="00A30E23"/>
    <w:rsid w:val="00A31BB4"/>
    <w:rsid w:val="00A410C9"/>
    <w:rsid w:val="00A41E4F"/>
    <w:rsid w:val="00A42C79"/>
    <w:rsid w:val="00A505D5"/>
    <w:rsid w:val="00A54BDF"/>
    <w:rsid w:val="00A557B8"/>
    <w:rsid w:val="00A6521E"/>
    <w:rsid w:val="00A671DF"/>
    <w:rsid w:val="00A72353"/>
    <w:rsid w:val="00A8490D"/>
    <w:rsid w:val="00A927ED"/>
    <w:rsid w:val="00A927F8"/>
    <w:rsid w:val="00AA28A9"/>
    <w:rsid w:val="00AB1560"/>
    <w:rsid w:val="00AB1688"/>
    <w:rsid w:val="00AB5D4F"/>
    <w:rsid w:val="00AB5F90"/>
    <w:rsid w:val="00AB66C2"/>
    <w:rsid w:val="00AB7D92"/>
    <w:rsid w:val="00AC194B"/>
    <w:rsid w:val="00AC4A0B"/>
    <w:rsid w:val="00AD13FA"/>
    <w:rsid w:val="00AD4481"/>
    <w:rsid w:val="00AE2C74"/>
    <w:rsid w:val="00AF51AC"/>
    <w:rsid w:val="00B023BB"/>
    <w:rsid w:val="00B30B9D"/>
    <w:rsid w:val="00B33A45"/>
    <w:rsid w:val="00B36B8B"/>
    <w:rsid w:val="00B41305"/>
    <w:rsid w:val="00B41472"/>
    <w:rsid w:val="00B42C33"/>
    <w:rsid w:val="00B4331D"/>
    <w:rsid w:val="00B47E5B"/>
    <w:rsid w:val="00B56B34"/>
    <w:rsid w:val="00B60031"/>
    <w:rsid w:val="00B60368"/>
    <w:rsid w:val="00B72C5F"/>
    <w:rsid w:val="00B774B8"/>
    <w:rsid w:val="00B92E53"/>
    <w:rsid w:val="00BA093C"/>
    <w:rsid w:val="00BA1FF6"/>
    <w:rsid w:val="00BA371B"/>
    <w:rsid w:val="00BB6D5A"/>
    <w:rsid w:val="00BC359D"/>
    <w:rsid w:val="00BC7C35"/>
    <w:rsid w:val="00BD7109"/>
    <w:rsid w:val="00BE53F9"/>
    <w:rsid w:val="00BF3AF6"/>
    <w:rsid w:val="00BF6FDB"/>
    <w:rsid w:val="00C045B3"/>
    <w:rsid w:val="00C054FF"/>
    <w:rsid w:val="00C067C8"/>
    <w:rsid w:val="00C34948"/>
    <w:rsid w:val="00C3544D"/>
    <w:rsid w:val="00C37BEA"/>
    <w:rsid w:val="00C6080E"/>
    <w:rsid w:val="00C7266D"/>
    <w:rsid w:val="00CB4049"/>
    <w:rsid w:val="00CC3279"/>
    <w:rsid w:val="00CD672A"/>
    <w:rsid w:val="00CD7D45"/>
    <w:rsid w:val="00CE494F"/>
    <w:rsid w:val="00CF214C"/>
    <w:rsid w:val="00D12B44"/>
    <w:rsid w:val="00D26244"/>
    <w:rsid w:val="00D352F5"/>
    <w:rsid w:val="00D404BE"/>
    <w:rsid w:val="00D55803"/>
    <w:rsid w:val="00D574FA"/>
    <w:rsid w:val="00D616FB"/>
    <w:rsid w:val="00D61BBD"/>
    <w:rsid w:val="00D83032"/>
    <w:rsid w:val="00D8553D"/>
    <w:rsid w:val="00D90179"/>
    <w:rsid w:val="00DA5BF1"/>
    <w:rsid w:val="00DB269F"/>
    <w:rsid w:val="00DD1B86"/>
    <w:rsid w:val="00DD203E"/>
    <w:rsid w:val="00DD2DB1"/>
    <w:rsid w:val="00DD5570"/>
    <w:rsid w:val="00DE5866"/>
    <w:rsid w:val="00E00746"/>
    <w:rsid w:val="00E510FB"/>
    <w:rsid w:val="00E51B1A"/>
    <w:rsid w:val="00E64FDF"/>
    <w:rsid w:val="00E670CF"/>
    <w:rsid w:val="00E67F0E"/>
    <w:rsid w:val="00E74C08"/>
    <w:rsid w:val="00E7580E"/>
    <w:rsid w:val="00EA02E6"/>
    <w:rsid w:val="00EA0614"/>
    <w:rsid w:val="00EA326B"/>
    <w:rsid w:val="00EA68F7"/>
    <w:rsid w:val="00EB0C14"/>
    <w:rsid w:val="00EC442D"/>
    <w:rsid w:val="00EC6A32"/>
    <w:rsid w:val="00ED0237"/>
    <w:rsid w:val="00ED2659"/>
    <w:rsid w:val="00ED5CFB"/>
    <w:rsid w:val="00ED778F"/>
    <w:rsid w:val="00F01E9E"/>
    <w:rsid w:val="00F05245"/>
    <w:rsid w:val="00F11723"/>
    <w:rsid w:val="00F17AC8"/>
    <w:rsid w:val="00F22CE3"/>
    <w:rsid w:val="00F4250B"/>
    <w:rsid w:val="00F47984"/>
    <w:rsid w:val="00F51FDA"/>
    <w:rsid w:val="00F62526"/>
    <w:rsid w:val="00F62CBC"/>
    <w:rsid w:val="00F65A78"/>
    <w:rsid w:val="00F65F0B"/>
    <w:rsid w:val="00F948D0"/>
    <w:rsid w:val="00F9636E"/>
    <w:rsid w:val="00FA08CC"/>
    <w:rsid w:val="00FA6E08"/>
    <w:rsid w:val="00FB36FA"/>
    <w:rsid w:val="00FB44FC"/>
    <w:rsid w:val="00FC30F3"/>
    <w:rsid w:val="00FC363B"/>
    <w:rsid w:val="00FE45AF"/>
    <w:rsid w:val="00FE6953"/>
    <w:rsid w:val="00FF2A33"/>
    <w:rsid w:val="00FF4505"/>
    <w:rsid w:val="00FF7605"/>
    <w:rsid w:val="01647D73"/>
    <w:rsid w:val="02038A19"/>
    <w:rsid w:val="0272ABEA"/>
    <w:rsid w:val="03C61E38"/>
    <w:rsid w:val="03E1D47D"/>
    <w:rsid w:val="041DD0D6"/>
    <w:rsid w:val="04D438A1"/>
    <w:rsid w:val="05A214D5"/>
    <w:rsid w:val="05D13A65"/>
    <w:rsid w:val="07498FDA"/>
    <w:rsid w:val="074DFB2D"/>
    <w:rsid w:val="084008C0"/>
    <w:rsid w:val="0855BB7A"/>
    <w:rsid w:val="09731F21"/>
    <w:rsid w:val="0A0367D1"/>
    <w:rsid w:val="0AEFFE54"/>
    <w:rsid w:val="0B2ADFAE"/>
    <w:rsid w:val="0BA1E25A"/>
    <w:rsid w:val="0C084F38"/>
    <w:rsid w:val="0D0BF155"/>
    <w:rsid w:val="0EF65980"/>
    <w:rsid w:val="0F4CB3BF"/>
    <w:rsid w:val="0FA43D73"/>
    <w:rsid w:val="0FB925FF"/>
    <w:rsid w:val="0FCE9A09"/>
    <w:rsid w:val="1017F8A4"/>
    <w:rsid w:val="1112B2E0"/>
    <w:rsid w:val="11946437"/>
    <w:rsid w:val="11C2F792"/>
    <w:rsid w:val="12FAD781"/>
    <w:rsid w:val="131ABE78"/>
    <w:rsid w:val="138D82B4"/>
    <w:rsid w:val="13CDC997"/>
    <w:rsid w:val="14B70EA0"/>
    <w:rsid w:val="14C4A34E"/>
    <w:rsid w:val="150F202C"/>
    <w:rsid w:val="155F6AF1"/>
    <w:rsid w:val="15FA0D75"/>
    <w:rsid w:val="16978AD4"/>
    <w:rsid w:val="1699BB2F"/>
    <w:rsid w:val="1741FEA2"/>
    <w:rsid w:val="17A69E1A"/>
    <w:rsid w:val="17C5C08E"/>
    <w:rsid w:val="18396134"/>
    <w:rsid w:val="189767AD"/>
    <w:rsid w:val="199002A1"/>
    <w:rsid w:val="19927BB6"/>
    <w:rsid w:val="1BBE8566"/>
    <w:rsid w:val="1C3A2852"/>
    <w:rsid w:val="1C6EA11B"/>
    <w:rsid w:val="1C8F195D"/>
    <w:rsid w:val="1CFEAE1B"/>
    <w:rsid w:val="1D8DF727"/>
    <w:rsid w:val="1DA785C3"/>
    <w:rsid w:val="1EB55B72"/>
    <w:rsid w:val="1F4E6E23"/>
    <w:rsid w:val="1F8E942E"/>
    <w:rsid w:val="1FF08279"/>
    <w:rsid w:val="20842237"/>
    <w:rsid w:val="2085C968"/>
    <w:rsid w:val="20CA423A"/>
    <w:rsid w:val="22F696E5"/>
    <w:rsid w:val="23263E3B"/>
    <w:rsid w:val="23547085"/>
    <w:rsid w:val="237E7F2F"/>
    <w:rsid w:val="23C04FD6"/>
    <w:rsid w:val="23F00556"/>
    <w:rsid w:val="2401C587"/>
    <w:rsid w:val="251A8CD9"/>
    <w:rsid w:val="254D1936"/>
    <w:rsid w:val="25C1C926"/>
    <w:rsid w:val="25CC278B"/>
    <w:rsid w:val="25CE8954"/>
    <w:rsid w:val="260CFEBE"/>
    <w:rsid w:val="261A8F4A"/>
    <w:rsid w:val="26208553"/>
    <w:rsid w:val="266D6D52"/>
    <w:rsid w:val="26D70232"/>
    <w:rsid w:val="272DEEA5"/>
    <w:rsid w:val="27B44447"/>
    <w:rsid w:val="2803D0B4"/>
    <w:rsid w:val="28AE6E75"/>
    <w:rsid w:val="28BE6C7C"/>
    <w:rsid w:val="29E115CD"/>
    <w:rsid w:val="2A3F30E7"/>
    <w:rsid w:val="2A6A5348"/>
    <w:rsid w:val="2ACFF0BF"/>
    <w:rsid w:val="2B7857ED"/>
    <w:rsid w:val="2BD8F392"/>
    <w:rsid w:val="2C728279"/>
    <w:rsid w:val="2CCFE696"/>
    <w:rsid w:val="2CE5DF6B"/>
    <w:rsid w:val="2DEBAF16"/>
    <w:rsid w:val="2E4B3268"/>
    <w:rsid w:val="2E7FC97A"/>
    <w:rsid w:val="2F71F30B"/>
    <w:rsid w:val="3024DB09"/>
    <w:rsid w:val="304267A3"/>
    <w:rsid w:val="31D10F2D"/>
    <w:rsid w:val="322696BD"/>
    <w:rsid w:val="32E8C588"/>
    <w:rsid w:val="3301E131"/>
    <w:rsid w:val="3315F971"/>
    <w:rsid w:val="33BB367C"/>
    <w:rsid w:val="341837F2"/>
    <w:rsid w:val="34619E1E"/>
    <w:rsid w:val="3588EB67"/>
    <w:rsid w:val="35E03767"/>
    <w:rsid w:val="366A39EB"/>
    <w:rsid w:val="368A2957"/>
    <w:rsid w:val="3704A07B"/>
    <w:rsid w:val="382611FC"/>
    <w:rsid w:val="38CAFC63"/>
    <w:rsid w:val="38CB0AEF"/>
    <w:rsid w:val="38CCE871"/>
    <w:rsid w:val="3940B270"/>
    <w:rsid w:val="3954C777"/>
    <w:rsid w:val="397E986D"/>
    <w:rsid w:val="3A7156F2"/>
    <w:rsid w:val="3ABA66AE"/>
    <w:rsid w:val="3B1FB36B"/>
    <w:rsid w:val="3BA83217"/>
    <w:rsid w:val="3CF53B39"/>
    <w:rsid w:val="3CFCBD0C"/>
    <w:rsid w:val="3E27BE65"/>
    <w:rsid w:val="3E298B26"/>
    <w:rsid w:val="3F0F5A50"/>
    <w:rsid w:val="3F73B289"/>
    <w:rsid w:val="3F97A2FA"/>
    <w:rsid w:val="3FD2125C"/>
    <w:rsid w:val="40182139"/>
    <w:rsid w:val="4178E2D5"/>
    <w:rsid w:val="4294051D"/>
    <w:rsid w:val="4356AAE3"/>
    <w:rsid w:val="43FB41C0"/>
    <w:rsid w:val="442947F4"/>
    <w:rsid w:val="4544D38A"/>
    <w:rsid w:val="45F8EDE7"/>
    <w:rsid w:val="46330DCA"/>
    <w:rsid w:val="46A2C103"/>
    <w:rsid w:val="47D3B49E"/>
    <w:rsid w:val="48402CA0"/>
    <w:rsid w:val="49AFD8BB"/>
    <w:rsid w:val="49C5FA6C"/>
    <w:rsid w:val="4A1694BC"/>
    <w:rsid w:val="4A4303DC"/>
    <w:rsid w:val="4A8F2A14"/>
    <w:rsid w:val="4B58AB38"/>
    <w:rsid w:val="4C20B1FB"/>
    <w:rsid w:val="4C9834E8"/>
    <w:rsid w:val="4CA30B3A"/>
    <w:rsid w:val="4E3300EF"/>
    <w:rsid w:val="4EB9B6D1"/>
    <w:rsid w:val="4F497F46"/>
    <w:rsid w:val="507E621A"/>
    <w:rsid w:val="514F55A7"/>
    <w:rsid w:val="51CB7304"/>
    <w:rsid w:val="52FCD45C"/>
    <w:rsid w:val="5430C67F"/>
    <w:rsid w:val="54404D33"/>
    <w:rsid w:val="544A6A5A"/>
    <w:rsid w:val="54EF7FC1"/>
    <w:rsid w:val="57489051"/>
    <w:rsid w:val="577409CA"/>
    <w:rsid w:val="5878EF25"/>
    <w:rsid w:val="595A2B30"/>
    <w:rsid w:val="596A3E4D"/>
    <w:rsid w:val="5A2E5E83"/>
    <w:rsid w:val="5A7FD41C"/>
    <w:rsid w:val="5A9517BE"/>
    <w:rsid w:val="5ADB0FA1"/>
    <w:rsid w:val="5B119DD0"/>
    <w:rsid w:val="5B6A0412"/>
    <w:rsid w:val="5C3AC140"/>
    <w:rsid w:val="5C59D547"/>
    <w:rsid w:val="5D5998CC"/>
    <w:rsid w:val="5E1C93FD"/>
    <w:rsid w:val="5E368D40"/>
    <w:rsid w:val="5E536E6B"/>
    <w:rsid w:val="5E91D232"/>
    <w:rsid w:val="5FCF4A11"/>
    <w:rsid w:val="5FDF5FC5"/>
    <w:rsid w:val="601F2EDC"/>
    <w:rsid w:val="607D7F00"/>
    <w:rsid w:val="60AFEDEC"/>
    <w:rsid w:val="61575633"/>
    <w:rsid w:val="61AED8AD"/>
    <w:rsid w:val="61C57BB7"/>
    <w:rsid w:val="64368E09"/>
    <w:rsid w:val="6489ED54"/>
    <w:rsid w:val="64DB32AA"/>
    <w:rsid w:val="65884941"/>
    <w:rsid w:val="66B7A63D"/>
    <w:rsid w:val="66C9E396"/>
    <w:rsid w:val="66EFA73C"/>
    <w:rsid w:val="67A460AF"/>
    <w:rsid w:val="680799BB"/>
    <w:rsid w:val="681E6E55"/>
    <w:rsid w:val="6838FADD"/>
    <w:rsid w:val="698876A0"/>
    <w:rsid w:val="69DA8E0E"/>
    <w:rsid w:val="6A3B9709"/>
    <w:rsid w:val="6AFD03AA"/>
    <w:rsid w:val="6C30A29A"/>
    <w:rsid w:val="6D04E109"/>
    <w:rsid w:val="6D0A47FB"/>
    <w:rsid w:val="6E4376CE"/>
    <w:rsid w:val="6EA67BB5"/>
    <w:rsid w:val="6EA7E4F1"/>
    <w:rsid w:val="6F15DEA3"/>
    <w:rsid w:val="6F7EACED"/>
    <w:rsid w:val="6FE73CE5"/>
    <w:rsid w:val="701D7F48"/>
    <w:rsid w:val="7061AD69"/>
    <w:rsid w:val="708E426E"/>
    <w:rsid w:val="709D4722"/>
    <w:rsid w:val="7109957E"/>
    <w:rsid w:val="712A2A07"/>
    <w:rsid w:val="7223BE80"/>
    <w:rsid w:val="751E732E"/>
    <w:rsid w:val="763F3B39"/>
    <w:rsid w:val="76D072ED"/>
    <w:rsid w:val="784C6A19"/>
    <w:rsid w:val="79AB1E00"/>
    <w:rsid w:val="7AA438DF"/>
    <w:rsid w:val="7B8BF759"/>
    <w:rsid w:val="7C8721F2"/>
    <w:rsid w:val="7CC3D48C"/>
    <w:rsid w:val="7CF1CCEE"/>
    <w:rsid w:val="7D8C3181"/>
    <w:rsid w:val="7EB87872"/>
    <w:rsid w:val="7EC516D6"/>
    <w:rsid w:val="7F0C7683"/>
    <w:rsid w:val="7F39CB6F"/>
    <w:rsid w:val="7F94A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FE5"/>
  <w15:chartTrackingRefBased/>
  <w15:docId w15:val="{86731355-4A6C-9942-B742-0A53454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8B"/>
    <w:rPr>
      <w:rFonts w:ascii="Open Sans" w:hAnsi="Open Sans" w:cs="Open Sans"/>
      <w:color w:val="231F20"/>
      <w:sz w:val="20"/>
      <w:szCs w:val="20"/>
    </w:rPr>
  </w:style>
  <w:style w:type="paragraph" w:styleId="Heading1">
    <w:name w:val="heading 1"/>
    <w:basedOn w:val="Normal"/>
    <w:next w:val="Normal"/>
    <w:link w:val="Heading1Char"/>
    <w:uiPriority w:val="9"/>
    <w:qFormat/>
    <w:rsid w:val="00A6521E"/>
    <w:pPr>
      <w:widowControl w:val="0"/>
      <w:autoSpaceDE w:val="0"/>
      <w:autoSpaceDN w:val="0"/>
      <w:spacing w:before="240" w:after="240" w:line="240" w:lineRule="auto"/>
      <w:outlineLvl w:val="0"/>
    </w:pPr>
    <w:rPr>
      <w:rFonts w:ascii="Open Sans Bold" w:eastAsia="Open Sans" w:hAnsi="Open Sans Bold"/>
      <w:bCs/>
      <w:color w:val="102036"/>
      <w:sz w:val="56"/>
      <w:szCs w:val="56"/>
    </w:rPr>
  </w:style>
  <w:style w:type="paragraph" w:styleId="Heading2">
    <w:name w:val="heading 2"/>
    <w:basedOn w:val="Heading1"/>
    <w:next w:val="Normal"/>
    <w:link w:val="Heading2Char"/>
    <w:uiPriority w:val="9"/>
    <w:unhideWhenUsed/>
    <w:qFormat/>
    <w:rsid w:val="00A6521E"/>
    <w:pPr>
      <w:spacing w:before="340"/>
      <w:outlineLvl w:val="1"/>
    </w:pPr>
    <w:rPr>
      <w:rFonts w:ascii="Open Sans SemiBold" w:hAnsi="Open Sans SemiBold"/>
      <w:bCs w:val="0"/>
      <w:sz w:val="36"/>
      <w:szCs w:val="36"/>
    </w:rPr>
  </w:style>
  <w:style w:type="paragraph" w:styleId="Heading3">
    <w:name w:val="heading 3"/>
    <w:basedOn w:val="Normal"/>
    <w:next w:val="Normal"/>
    <w:link w:val="Heading3Char"/>
    <w:uiPriority w:val="9"/>
    <w:unhideWhenUsed/>
    <w:qFormat/>
    <w:rsid w:val="00657A24"/>
    <w:pPr>
      <w:spacing w:before="240"/>
      <w:outlineLvl w:val="2"/>
    </w:pPr>
    <w:rPr>
      <w:rFonts w:ascii="Open Sans SemiBold"/>
      <w:color w:val="102036"/>
      <w:sz w:val="28"/>
    </w:rPr>
  </w:style>
  <w:style w:type="paragraph" w:styleId="Heading4">
    <w:name w:val="heading 4"/>
    <w:basedOn w:val="Heading3"/>
    <w:next w:val="Normal"/>
    <w:link w:val="Heading4Char"/>
    <w:uiPriority w:val="9"/>
    <w:unhideWhenUsed/>
    <w:qFormat/>
    <w:rsid w:val="00B36B8B"/>
    <w:pPr>
      <w:outlineLvl w:val="3"/>
    </w:pPr>
    <w:rPr>
      <w:sz w:val="24"/>
    </w:rPr>
  </w:style>
  <w:style w:type="paragraph" w:styleId="Heading5">
    <w:name w:val="heading 5"/>
    <w:basedOn w:val="Heading4"/>
    <w:next w:val="Normal"/>
    <w:link w:val="Heading5Char"/>
    <w:uiPriority w:val="9"/>
    <w:unhideWhenUsed/>
    <w:qFormat/>
    <w:rsid w:val="00B36B8B"/>
    <w:pPr>
      <w:outlineLvl w:val="4"/>
    </w:pPr>
    <w:rPr>
      <w:sz w:val="20"/>
      <w:szCs w:val="18"/>
    </w:rPr>
  </w:style>
  <w:style w:type="paragraph" w:styleId="Heading6">
    <w:name w:val="heading 6"/>
    <w:basedOn w:val="Normal"/>
    <w:next w:val="Normal"/>
    <w:link w:val="Heading6Char"/>
    <w:uiPriority w:val="9"/>
    <w:semiHidden/>
    <w:unhideWhenUsed/>
    <w:rsid w:val="00D12B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rsid w:val="00B36B8B"/>
    <w:pPr>
      <w:spacing w:before="264"/>
      <w:ind w:left="797"/>
    </w:pPr>
    <w:rPr>
      <w:rFonts w:ascii="Open Sans" w:hAnsi="Open Sans"/>
      <w:b/>
      <w:bCs w:val="0"/>
    </w:rPr>
  </w:style>
  <w:style w:type="character" w:customStyle="1" w:styleId="H1Char">
    <w:name w:val="H1 Char"/>
    <w:basedOn w:val="Heading1Char"/>
    <w:link w:val="H1"/>
    <w:rsid w:val="00B36B8B"/>
    <w:rPr>
      <w:rFonts w:ascii="Open Sans" w:eastAsia="Open Sans" w:hAnsi="Open Sans" w:cs="Open Sans"/>
      <w:b/>
      <w:bCs w:val="0"/>
      <w:color w:val="102036"/>
      <w:sz w:val="56"/>
      <w:szCs w:val="56"/>
    </w:rPr>
  </w:style>
  <w:style w:type="character" w:customStyle="1" w:styleId="Heading1Char">
    <w:name w:val="Heading 1 Char"/>
    <w:basedOn w:val="DefaultParagraphFont"/>
    <w:link w:val="Heading1"/>
    <w:uiPriority w:val="9"/>
    <w:rsid w:val="00A6521E"/>
    <w:rPr>
      <w:rFonts w:ascii="Open Sans Bold" w:eastAsia="Open Sans" w:hAnsi="Open Sans Bold" w:cs="Open Sans"/>
      <w:bCs/>
      <w:color w:val="102036"/>
      <w:sz w:val="56"/>
      <w:szCs w:val="56"/>
    </w:rPr>
  </w:style>
  <w:style w:type="paragraph" w:customStyle="1" w:styleId="H2">
    <w:name w:val="H2"/>
    <w:basedOn w:val="Heading2"/>
    <w:link w:val="H2Char"/>
    <w:rsid w:val="00B36B8B"/>
    <w:pPr>
      <w:spacing w:before="100"/>
      <w:ind w:left="797"/>
    </w:pPr>
    <w:rPr>
      <w:rFonts w:ascii="Open Sans" w:hAnsi="Open Sans"/>
      <w:b/>
      <w:bCs/>
    </w:rPr>
  </w:style>
  <w:style w:type="character" w:customStyle="1" w:styleId="H2Char">
    <w:name w:val="H2 Char"/>
    <w:basedOn w:val="Heading2Char"/>
    <w:link w:val="H2"/>
    <w:rsid w:val="00B36B8B"/>
    <w:rPr>
      <w:rFonts w:ascii="Open Sans" w:eastAsia="Open Sans" w:hAnsi="Open Sans" w:cs="Open Sans"/>
      <w:b/>
      <w:bCs/>
      <w:color w:val="102036"/>
      <w:sz w:val="36"/>
      <w:szCs w:val="36"/>
    </w:rPr>
  </w:style>
  <w:style w:type="character" w:customStyle="1" w:styleId="Heading2Char">
    <w:name w:val="Heading 2 Char"/>
    <w:basedOn w:val="DefaultParagraphFont"/>
    <w:link w:val="Heading2"/>
    <w:uiPriority w:val="9"/>
    <w:rsid w:val="00A6521E"/>
    <w:rPr>
      <w:rFonts w:ascii="Open Sans SemiBold" w:eastAsia="Open Sans" w:hAnsi="Open Sans SemiBold" w:cs="Open Sans"/>
      <w:color w:val="102036"/>
      <w:sz w:val="36"/>
      <w:szCs w:val="36"/>
    </w:rPr>
  </w:style>
  <w:style w:type="character" w:customStyle="1" w:styleId="Heading3Char">
    <w:name w:val="Heading 3 Char"/>
    <w:basedOn w:val="DefaultParagraphFont"/>
    <w:link w:val="Heading3"/>
    <w:uiPriority w:val="9"/>
    <w:rsid w:val="00657A24"/>
    <w:rPr>
      <w:rFonts w:ascii="Open Sans SemiBold" w:hAnsi="Open Sans" w:cs="Open Sans"/>
      <w:color w:val="102036"/>
      <w:sz w:val="28"/>
      <w:szCs w:val="20"/>
    </w:rPr>
  </w:style>
  <w:style w:type="character" w:customStyle="1" w:styleId="Heading4Char">
    <w:name w:val="Heading 4 Char"/>
    <w:basedOn w:val="DefaultParagraphFont"/>
    <w:link w:val="Heading4"/>
    <w:uiPriority w:val="9"/>
    <w:rsid w:val="00B36B8B"/>
    <w:rPr>
      <w:rFonts w:ascii="Open Sans SemiBold"/>
      <w:b/>
      <w:color w:val="102036"/>
      <w:sz w:val="24"/>
    </w:rPr>
  </w:style>
  <w:style w:type="character" w:customStyle="1" w:styleId="Heading5Char">
    <w:name w:val="Heading 5 Char"/>
    <w:basedOn w:val="DefaultParagraphFont"/>
    <w:link w:val="Heading5"/>
    <w:uiPriority w:val="9"/>
    <w:rsid w:val="00B36B8B"/>
    <w:rPr>
      <w:rFonts w:ascii="Open Sans SemiBold"/>
      <w:color w:val="102036"/>
      <w:sz w:val="20"/>
      <w:szCs w:val="18"/>
    </w:rPr>
  </w:style>
  <w:style w:type="paragraph" w:styleId="Title">
    <w:name w:val="Title"/>
    <w:basedOn w:val="Normal"/>
    <w:next w:val="Normal"/>
    <w:link w:val="TitleChar"/>
    <w:uiPriority w:val="10"/>
    <w:qFormat/>
    <w:rsid w:val="009D537E"/>
    <w:rPr>
      <w:rFonts w:ascii="Open Sans SemiBold" w:hAnsi="Open Sans SemiBold"/>
      <w:b/>
      <w:color w:val="FFFFFF" w:themeColor="background1"/>
      <w:sz w:val="76"/>
      <w:szCs w:val="76"/>
    </w:rPr>
  </w:style>
  <w:style w:type="character" w:customStyle="1" w:styleId="TitleChar">
    <w:name w:val="Title Char"/>
    <w:basedOn w:val="DefaultParagraphFont"/>
    <w:link w:val="Title"/>
    <w:uiPriority w:val="10"/>
    <w:rsid w:val="009D537E"/>
    <w:rPr>
      <w:rFonts w:ascii="Open Sans SemiBold" w:hAnsi="Open Sans SemiBold" w:cs="Open Sans"/>
      <w:b/>
      <w:color w:val="FFFFFF" w:themeColor="background1"/>
      <w:sz w:val="76"/>
      <w:szCs w:val="76"/>
    </w:rPr>
  </w:style>
  <w:style w:type="paragraph" w:styleId="Subtitle">
    <w:name w:val="Subtitle"/>
    <w:basedOn w:val="Normal"/>
    <w:next w:val="Normal"/>
    <w:link w:val="SubtitleChar"/>
    <w:uiPriority w:val="11"/>
    <w:qFormat/>
    <w:rsid w:val="00B36B8B"/>
    <w:rPr>
      <w:rFonts w:ascii="Open Sans SemiBold" w:hAnsi="Open Sans SemiBold"/>
      <w:color w:val="FFFFFF" w:themeColor="background1"/>
      <w:sz w:val="32"/>
    </w:rPr>
  </w:style>
  <w:style w:type="character" w:customStyle="1" w:styleId="SubtitleChar">
    <w:name w:val="Subtitle Char"/>
    <w:basedOn w:val="DefaultParagraphFont"/>
    <w:link w:val="Subtitle"/>
    <w:uiPriority w:val="11"/>
    <w:rsid w:val="00B36B8B"/>
    <w:rPr>
      <w:rFonts w:ascii="Open Sans SemiBold" w:hAnsi="Open Sans SemiBold" w:cs="Open Sans"/>
      <w:color w:val="FFFFFF" w:themeColor="background1"/>
      <w:sz w:val="32"/>
      <w:szCs w:val="20"/>
    </w:rPr>
  </w:style>
  <w:style w:type="paragraph" w:styleId="Header">
    <w:name w:val="header"/>
    <w:basedOn w:val="Normal"/>
    <w:link w:val="HeaderChar"/>
    <w:uiPriority w:val="99"/>
    <w:unhideWhenUsed/>
    <w:rsid w:val="00B36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B8B"/>
    <w:rPr>
      <w:rFonts w:ascii="Open Sans" w:hAnsi="Open Sans" w:cs="Open Sans"/>
      <w:color w:val="231F20"/>
      <w:sz w:val="20"/>
      <w:szCs w:val="20"/>
    </w:rPr>
  </w:style>
  <w:style w:type="paragraph" w:styleId="Footer">
    <w:name w:val="footer"/>
    <w:basedOn w:val="Normal"/>
    <w:link w:val="FooterChar"/>
    <w:uiPriority w:val="99"/>
    <w:unhideWhenUsed/>
    <w:rsid w:val="00B36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B8B"/>
    <w:rPr>
      <w:rFonts w:ascii="Open Sans" w:hAnsi="Open Sans" w:cs="Open Sans"/>
      <w:color w:val="231F20"/>
      <w:sz w:val="20"/>
      <w:szCs w:val="20"/>
    </w:rPr>
  </w:style>
  <w:style w:type="character" w:styleId="SubtleEmphasis">
    <w:name w:val="Subtle Emphasis"/>
    <w:uiPriority w:val="19"/>
    <w:qFormat/>
    <w:rsid w:val="00B36B8B"/>
    <w:rPr>
      <w:rFonts w:ascii="Open Sans italic" w:hAnsi="Open Sans italic"/>
      <w:color w:val="FFFFFF" w:themeColor="background1"/>
      <w:sz w:val="24"/>
    </w:rPr>
  </w:style>
  <w:style w:type="character" w:styleId="Strong">
    <w:name w:val="Strong"/>
    <w:uiPriority w:val="22"/>
    <w:qFormat/>
    <w:rsid w:val="00FA08CC"/>
    <w:rPr>
      <w:rFonts w:ascii="Open Sans" w:hAnsi="Open Sans"/>
      <w:b/>
      <w:bCs/>
      <w:color w:val="102036"/>
      <w:sz w:val="20"/>
    </w:rPr>
  </w:style>
  <w:style w:type="paragraph" w:styleId="Quote">
    <w:name w:val="Quote"/>
    <w:basedOn w:val="Normal"/>
    <w:next w:val="Normal"/>
    <w:link w:val="QuoteChar"/>
    <w:uiPriority w:val="29"/>
    <w:qFormat/>
    <w:rsid w:val="00A6521E"/>
    <w:pPr>
      <w:spacing w:before="360" w:after="360"/>
      <w:jc w:val="center"/>
    </w:pPr>
    <w:rPr>
      <w:color w:val="102036"/>
      <w:sz w:val="28"/>
      <w:szCs w:val="28"/>
    </w:rPr>
  </w:style>
  <w:style w:type="character" w:customStyle="1" w:styleId="QuoteChar">
    <w:name w:val="Quote Char"/>
    <w:basedOn w:val="DefaultParagraphFont"/>
    <w:link w:val="Quote"/>
    <w:uiPriority w:val="29"/>
    <w:rsid w:val="00A6521E"/>
    <w:rPr>
      <w:rFonts w:ascii="Open Sans" w:hAnsi="Open Sans" w:cs="Open Sans"/>
      <w:color w:val="102036"/>
      <w:sz w:val="28"/>
      <w:szCs w:val="28"/>
    </w:rPr>
  </w:style>
  <w:style w:type="paragraph" w:styleId="ListParagraph">
    <w:name w:val="List Paragraph"/>
    <w:basedOn w:val="Normal"/>
    <w:uiPriority w:val="34"/>
    <w:qFormat/>
    <w:rsid w:val="009A617A"/>
    <w:pPr>
      <w:ind w:left="720"/>
      <w:contextualSpacing/>
    </w:pPr>
  </w:style>
  <w:style w:type="paragraph" w:styleId="TOC1">
    <w:name w:val="toc 1"/>
    <w:basedOn w:val="Normal"/>
    <w:next w:val="Normal"/>
    <w:autoRedefine/>
    <w:uiPriority w:val="39"/>
    <w:unhideWhenUsed/>
    <w:rsid w:val="00EC6A32"/>
    <w:pPr>
      <w:tabs>
        <w:tab w:val="right" w:pos="9060"/>
      </w:tabs>
      <w:spacing w:after="0" w:line="360" w:lineRule="auto"/>
    </w:pPr>
    <w:rPr>
      <w:rFonts w:ascii="Open Sans Bold" w:hAnsi="Open Sans Bold"/>
      <w:color w:val="102036"/>
      <w:sz w:val="24"/>
    </w:rPr>
  </w:style>
  <w:style w:type="paragraph" w:styleId="TOC2">
    <w:name w:val="toc 2"/>
    <w:basedOn w:val="Normal"/>
    <w:next w:val="Normal"/>
    <w:autoRedefine/>
    <w:uiPriority w:val="39"/>
    <w:unhideWhenUsed/>
    <w:rsid w:val="00A6521E"/>
    <w:pPr>
      <w:spacing w:before="240" w:after="340"/>
      <w:ind w:left="200"/>
    </w:pPr>
    <w:rPr>
      <w:sz w:val="24"/>
    </w:rPr>
  </w:style>
  <w:style w:type="paragraph" w:styleId="TOC3">
    <w:name w:val="toc 3"/>
    <w:basedOn w:val="Normal"/>
    <w:next w:val="Normal"/>
    <w:autoRedefine/>
    <w:uiPriority w:val="39"/>
    <w:unhideWhenUsed/>
    <w:rsid w:val="0010517A"/>
    <w:pPr>
      <w:spacing w:after="100"/>
      <w:ind w:left="400"/>
    </w:pPr>
  </w:style>
  <w:style w:type="character" w:styleId="Hyperlink">
    <w:name w:val="Hyperlink"/>
    <w:basedOn w:val="DefaultParagraphFont"/>
    <w:uiPriority w:val="99"/>
    <w:unhideWhenUsed/>
    <w:rsid w:val="0010517A"/>
    <w:rPr>
      <w:color w:val="0563C1" w:themeColor="hyperlink"/>
      <w:u w:val="single"/>
    </w:rPr>
  </w:style>
  <w:style w:type="character" w:customStyle="1" w:styleId="Heading6Char">
    <w:name w:val="Heading 6 Char"/>
    <w:basedOn w:val="DefaultParagraphFont"/>
    <w:link w:val="Heading6"/>
    <w:uiPriority w:val="9"/>
    <w:semiHidden/>
    <w:rsid w:val="00D12B44"/>
    <w:rPr>
      <w:rFonts w:asciiTheme="majorHAnsi" w:eastAsiaTheme="majorEastAsia" w:hAnsiTheme="majorHAnsi" w:cstheme="majorBidi"/>
      <w:color w:val="1F3763" w:themeColor="accent1" w:themeShade="7F"/>
      <w:sz w:val="20"/>
      <w:szCs w:val="20"/>
    </w:rPr>
  </w:style>
  <w:style w:type="paragraph" w:styleId="BodyText">
    <w:name w:val="Body Text"/>
    <w:basedOn w:val="Normal"/>
    <w:link w:val="BodyTextChar"/>
    <w:uiPriority w:val="1"/>
    <w:qFormat/>
    <w:rsid w:val="00D12B44"/>
    <w:pPr>
      <w:widowControl w:val="0"/>
      <w:autoSpaceDE w:val="0"/>
      <w:autoSpaceDN w:val="0"/>
      <w:spacing w:after="0" w:line="240" w:lineRule="auto"/>
    </w:pPr>
    <w:rPr>
      <w:rFonts w:eastAsia="Open Sans"/>
      <w:color w:val="auto"/>
    </w:rPr>
  </w:style>
  <w:style w:type="character" w:customStyle="1" w:styleId="BodyTextChar">
    <w:name w:val="Body Text Char"/>
    <w:basedOn w:val="DefaultParagraphFont"/>
    <w:link w:val="BodyText"/>
    <w:uiPriority w:val="1"/>
    <w:rsid w:val="00D12B44"/>
    <w:rPr>
      <w:rFonts w:ascii="Open Sans" w:eastAsia="Open Sans" w:hAnsi="Open Sans" w:cs="Open Sans"/>
      <w:sz w:val="20"/>
      <w:szCs w:val="20"/>
    </w:rPr>
  </w:style>
  <w:style w:type="character" w:styleId="FollowedHyperlink">
    <w:name w:val="FollowedHyperlink"/>
    <w:basedOn w:val="DefaultParagraphFont"/>
    <w:uiPriority w:val="99"/>
    <w:semiHidden/>
    <w:unhideWhenUsed/>
    <w:rsid w:val="009D537E"/>
    <w:rPr>
      <w:color w:val="954F72" w:themeColor="followedHyperlink"/>
      <w:u w:val="single"/>
    </w:rPr>
  </w:style>
  <w:style w:type="character" w:styleId="UnresolvedMention">
    <w:name w:val="Unresolved Mention"/>
    <w:basedOn w:val="DefaultParagraphFont"/>
    <w:uiPriority w:val="99"/>
    <w:semiHidden/>
    <w:unhideWhenUsed/>
    <w:rsid w:val="009D537E"/>
    <w:rPr>
      <w:color w:val="605E5C"/>
      <w:shd w:val="clear" w:color="auto" w:fill="E1DFDD"/>
    </w:rPr>
  </w:style>
  <w:style w:type="character" w:styleId="CommentReference">
    <w:name w:val="annotation reference"/>
    <w:basedOn w:val="DefaultParagraphFont"/>
    <w:uiPriority w:val="99"/>
    <w:semiHidden/>
    <w:unhideWhenUsed/>
    <w:rsid w:val="00074577"/>
    <w:rPr>
      <w:sz w:val="16"/>
      <w:szCs w:val="16"/>
    </w:rPr>
  </w:style>
  <w:style w:type="paragraph" w:styleId="CommentText">
    <w:name w:val="annotation text"/>
    <w:basedOn w:val="Normal"/>
    <w:link w:val="CommentTextChar"/>
    <w:uiPriority w:val="99"/>
    <w:unhideWhenUsed/>
    <w:rsid w:val="00074577"/>
    <w:pPr>
      <w:spacing w:after="68" w:line="240" w:lineRule="auto"/>
      <w:ind w:left="10" w:hanging="10"/>
    </w:pPr>
    <w:rPr>
      <w:rFonts w:ascii="Calibri" w:eastAsia="Calibri" w:hAnsi="Calibri" w:cs="Calibri"/>
      <w:color w:val="000000"/>
      <w:kern w:val="2"/>
      <w:lang w:eastAsia="en-GB"/>
      <w14:ligatures w14:val="standardContextual"/>
    </w:rPr>
  </w:style>
  <w:style w:type="character" w:customStyle="1" w:styleId="CommentTextChar">
    <w:name w:val="Comment Text Char"/>
    <w:basedOn w:val="DefaultParagraphFont"/>
    <w:link w:val="CommentText"/>
    <w:uiPriority w:val="99"/>
    <w:rsid w:val="00074577"/>
    <w:rPr>
      <w:rFonts w:ascii="Calibri" w:eastAsia="Calibri" w:hAnsi="Calibri" w:cs="Calibri"/>
      <w:color w:val="000000"/>
      <w:kern w:val="2"/>
      <w:sz w:val="20"/>
      <w:szCs w:val="20"/>
      <w:lang w:eastAsia="en-GB"/>
      <w14:ligatures w14:val="standardContextual"/>
    </w:rPr>
  </w:style>
  <w:style w:type="paragraph" w:styleId="Revision">
    <w:name w:val="Revision"/>
    <w:hidden/>
    <w:uiPriority w:val="99"/>
    <w:semiHidden/>
    <w:rsid w:val="002731E0"/>
    <w:pPr>
      <w:spacing w:after="0" w:line="240" w:lineRule="auto"/>
    </w:pPr>
    <w:rPr>
      <w:rFonts w:ascii="Open Sans" w:hAnsi="Open Sans" w:cs="Open Sans"/>
      <w:color w:val="231F20"/>
      <w:sz w:val="20"/>
      <w:szCs w:val="20"/>
    </w:rPr>
  </w:style>
  <w:style w:type="paragraph" w:styleId="NoSpacing">
    <w:name w:val="No Spacing"/>
    <w:uiPriority w:val="1"/>
    <w:qFormat/>
    <w:rsid w:val="00C34948"/>
    <w:pPr>
      <w:spacing w:after="0" w:line="240" w:lineRule="auto"/>
    </w:pPr>
    <w:rPr>
      <w:rFonts w:ascii="Open Sans" w:hAnsi="Open Sans" w:cs="Open Sans"/>
      <w:color w:val="231F20"/>
      <w:sz w:val="20"/>
      <w:szCs w:val="20"/>
    </w:rPr>
  </w:style>
  <w:style w:type="table" w:customStyle="1" w:styleId="TableGrid">
    <w:name w:val="TableGrid"/>
    <w:rsid w:val="00967C45"/>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numbering" w:customStyle="1" w:styleId="CurrentList1">
    <w:name w:val="Current List1"/>
    <w:uiPriority w:val="99"/>
    <w:rsid w:val="00652803"/>
    <w:pPr>
      <w:numPr>
        <w:numId w:val="31"/>
      </w:numPr>
    </w:pPr>
  </w:style>
  <w:style w:type="table" w:styleId="TableGrid0">
    <w:name w:val="Table Grid"/>
    <w:basedOn w:val="TableNormal"/>
    <w:uiPriority w:val="39"/>
    <w:rsid w:val="008D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0524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F05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F0524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F0524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TOCHeading">
    <w:name w:val="TOC Heading"/>
    <w:basedOn w:val="Heading1"/>
    <w:next w:val="Normal"/>
    <w:uiPriority w:val="39"/>
    <w:unhideWhenUsed/>
    <w:qFormat/>
    <w:rsid w:val="008C65B2"/>
    <w:pPr>
      <w:keepNext/>
      <w:keepLines/>
      <w:widowControl/>
      <w:autoSpaceDE/>
      <w:autoSpaceDN/>
      <w:spacing w:after="0" w:line="259" w:lineRule="auto"/>
      <w:outlineLvl w:val="9"/>
    </w:pPr>
    <w:rPr>
      <w:rFonts w:asciiTheme="majorHAnsi" w:eastAsiaTheme="majorEastAsia" w:hAnsiTheme="majorHAnsi" w:cstheme="majorBidi"/>
      <w:bCs w:val="0"/>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4D267D"/>
    <w:pPr>
      <w:spacing w:after="160"/>
      <w:ind w:left="0" w:firstLine="0"/>
    </w:pPr>
    <w:rPr>
      <w:rFonts w:ascii="Open Sans" w:eastAsiaTheme="minorHAnsi" w:hAnsi="Open Sans" w:cs="Open Sans"/>
      <w:b/>
      <w:bCs/>
      <w:color w:val="231F20"/>
      <w:kern w:val="0"/>
      <w:lang w:eastAsia="en-US"/>
      <w14:ligatures w14:val="none"/>
    </w:rPr>
  </w:style>
  <w:style w:type="character" w:customStyle="1" w:styleId="CommentSubjectChar">
    <w:name w:val="Comment Subject Char"/>
    <w:basedOn w:val="CommentTextChar"/>
    <w:link w:val="CommentSubject"/>
    <w:uiPriority w:val="99"/>
    <w:semiHidden/>
    <w:rsid w:val="004D267D"/>
    <w:rPr>
      <w:rFonts w:ascii="Open Sans" w:eastAsia="Calibri" w:hAnsi="Open Sans" w:cs="Open Sans"/>
      <w:b/>
      <w:bCs/>
      <w:color w:val="231F20"/>
      <w:kern w:val="2"/>
      <w:sz w:val="20"/>
      <w:szCs w:val="2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1911">
      <w:bodyDiv w:val="1"/>
      <w:marLeft w:val="0"/>
      <w:marRight w:val="0"/>
      <w:marTop w:val="0"/>
      <w:marBottom w:val="0"/>
      <w:divBdr>
        <w:top w:val="none" w:sz="0" w:space="0" w:color="auto"/>
        <w:left w:val="none" w:sz="0" w:space="0" w:color="auto"/>
        <w:bottom w:val="none" w:sz="0" w:space="0" w:color="auto"/>
        <w:right w:val="none" w:sz="0" w:space="0" w:color="auto"/>
      </w:divBdr>
    </w:div>
    <w:div w:id="19347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cpc-uk.org/standards/standards-of-continuing-professional-development/" TargetMode="External"/><Relationship Id="rId21" Type="http://schemas.openxmlformats.org/officeDocument/2006/relationships/hyperlink" Target="https://www.hcpc-uk.org/standards/standards-of-conduct-performance-and-ethics/revised-standards/" TargetMode="External"/><Relationship Id="rId42" Type="http://schemas.openxmlformats.org/officeDocument/2006/relationships/hyperlink" Target="https://www.hcpc-uk.org/resources/standards/standards-of-proficiency-speech-and-language-therapists/" TargetMode="External"/><Relationship Id="rId47" Type="http://schemas.openxmlformats.org/officeDocument/2006/relationships/hyperlink" Target="https://www.hcpc-uk.org/standards/standards-of-conduct-performance-and-ethics/" TargetMode="External"/><Relationship Id="rId63" Type="http://schemas.openxmlformats.org/officeDocument/2006/relationships/hyperlink" Target="https://www.hcpc-uk.org/standards/standards-of-continuing-professional-development/" TargetMode="External"/><Relationship Id="rId68" Type="http://schemas.openxmlformats.org/officeDocument/2006/relationships/hyperlink" Target="https://www.hcpc-uk.org/standards/standards-of-continuing-professional-development/" TargetMode="External"/><Relationship Id="rId84" Type="http://schemas.openxmlformats.org/officeDocument/2006/relationships/hyperlink" Target="https://www.rcslt.org/wp-content/uploads/2022/02/EDS-competency-examples.pdf" TargetMode="External"/><Relationship Id="rId89" Type="http://schemas.openxmlformats.org/officeDocument/2006/relationships/image" Target="media/image4.png"/><Relationship Id="rId16" Type="http://schemas.openxmlformats.org/officeDocument/2006/relationships/hyperlink" Target="https://www.rcslt.org/wp-content/uploads/2025/10/RCSLT-Curriculum-Guidance-October-2025-1.pdf" TargetMode="External"/><Relationship Id="rId11" Type="http://schemas.openxmlformats.org/officeDocument/2006/relationships/image" Target="media/image1.png"/><Relationship Id="rId32" Type="http://schemas.openxmlformats.org/officeDocument/2006/relationships/hyperlink" Target="https://www.hcpc-uk.org/resources/standards/standards-of-proficiency-speech-and-language-therapists/" TargetMode="External"/><Relationship Id="rId37" Type="http://schemas.openxmlformats.org/officeDocument/2006/relationships/hyperlink" Target="https://www.hcpc-uk.org/resources/standards/standards-of-proficiency-speech-and-language-therapists/" TargetMode="External"/><Relationship Id="rId53" Type="http://schemas.openxmlformats.org/officeDocument/2006/relationships/hyperlink" Target="https://www.hcpc-uk.org/standards/standards-of-conduct-performance-and-ethics/" TargetMode="External"/><Relationship Id="rId58" Type="http://schemas.openxmlformats.org/officeDocument/2006/relationships/hyperlink" Target="https://www.hcpc-uk.org/resources/standards/standards-of-education-and-training/" TargetMode="External"/><Relationship Id="rId74" Type="http://schemas.openxmlformats.org/officeDocument/2006/relationships/hyperlink" Target="https://www.rcslt.org/learning/information-for-education-providers/practice-based-learning/practice-based-learning-guidance/" TargetMode="External"/><Relationship Id="rId79" Type="http://schemas.openxmlformats.org/officeDocument/2006/relationships/hyperlink" Target="https://www.rcslt.org/members/your-career/overseas-and-international/"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www.hcpc-uk.org/standards/standards-of-conduct-performance-and-ethics/" TargetMode="External"/><Relationship Id="rId27" Type="http://schemas.openxmlformats.org/officeDocument/2006/relationships/hyperlink" Target="https://www.hcpc-uk.org/standards/standards-of-continuing-professional-development/" TargetMode="External"/><Relationship Id="rId43" Type="http://schemas.openxmlformats.org/officeDocument/2006/relationships/hyperlink" Target="https://www.hcpc-uk.org/resources/standards/standards-of-proficiency-speech-and-language-therapists/" TargetMode="External"/><Relationship Id="rId48" Type="http://schemas.openxmlformats.org/officeDocument/2006/relationships/hyperlink" Target="https://www.hcpc-uk.org/standards/standards-of-conduct-performance-and-ethics/" TargetMode="External"/><Relationship Id="rId64" Type="http://schemas.openxmlformats.org/officeDocument/2006/relationships/hyperlink" Target="https://www.hcpc-uk.org/standards/standards-of-continuing-professional-development/" TargetMode="External"/><Relationship Id="rId69" Type="http://schemas.openxmlformats.org/officeDocument/2006/relationships/hyperlink" Target="https://www.hcpc-uk.org/standards/standards-of-continuing-professional-development/" TargetMode="External"/><Relationship Id="rId80" Type="http://schemas.openxmlformats.org/officeDocument/2006/relationships/hyperlink" Target="https://www.rcslt.org/members/your-career/overseas-and-international/" TargetMode="External"/><Relationship Id="rId85" Type="http://schemas.openxmlformats.org/officeDocument/2006/relationships/hyperlink" Target="http://www.rcslt.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rcslt.org/members/lifelong-learning/using-your-cpd-diary/" TargetMode="External"/><Relationship Id="rId25" Type="http://schemas.openxmlformats.org/officeDocument/2006/relationships/hyperlink" Target="https://www.hcpc-uk.org/standards/standards-of-continuing-professional-development/" TargetMode="External"/><Relationship Id="rId33" Type="http://schemas.openxmlformats.org/officeDocument/2006/relationships/hyperlink" Target="https://www.hcpc-uk.org/resources/standards/standards-of-proficiency-speech-and-language-therapists/" TargetMode="External"/><Relationship Id="rId38" Type="http://schemas.openxmlformats.org/officeDocument/2006/relationships/hyperlink" Target="https://www.hcpc-uk.org/resources/standards/standards-of-proficiency-speech-and-language-therapists/" TargetMode="External"/><Relationship Id="rId46" Type="http://schemas.openxmlformats.org/officeDocument/2006/relationships/hyperlink" Target="https://www.hcpc-uk.org/standards/standards-of-conduct-performance-and-ethics/" TargetMode="External"/><Relationship Id="rId59" Type="http://schemas.openxmlformats.org/officeDocument/2006/relationships/hyperlink" Target="https://www.hcpc-uk.org/resources/standards/standards-of-education-and-training/" TargetMode="External"/><Relationship Id="rId67" Type="http://schemas.openxmlformats.org/officeDocument/2006/relationships/hyperlink" Target="https://www.hcpc-uk.org/standards/standards-of-continuing-professional-development/" TargetMode="External"/><Relationship Id="rId20" Type="http://schemas.openxmlformats.org/officeDocument/2006/relationships/hyperlink" Target="https://www.hcpc-uk.org/standards/standards-of-proficiency/speech-and-language-therapists/" TargetMode="External"/><Relationship Id="rId41" Type="http://schemas.openxmlformats.org/officeDocument/2006/relationships/hyperlink" Target="https://www.hcpc-uk.org/resources/standards/standards-of-proficiency-speech-and-language-therapists/" TargetMode="External"/><Relationship Id="rId54" Type="http://schemas.openxmlformats.org/officeDocument/2006/relationships/hyperlink" Target="https://www.hcpc-uk.org/standards/standards-of-conduct-performance-and-ethics/" TargetMode="External"/><Relationship Id="rId62" Type="http://schemas.openxmlformats.org/officeDocument/2006/relationships/hyperlink" Target="https://www.hcpc-uk.org/standards/standards-of-continuing-professional-development/" TargetMode="External"/><Relationship Id="rId70" Type="http://schemas.openxmlformats.org/officeDocument/2006/relationships/hyperlink" Target="https://www.hcpc-uk.org/standards/standards-of-continuing-professional-development/" TargetMode="External"/><Relationship Id="rId75" Type="http://schemas.openxmlformats.org/officeDocument/2006/relationships/hyperlink" Target="https://www.rcslt.org/wp-content/uploads/2025/10/RCSLT-Curriculum-Guidance-October-2025-1.pdf" TargetMode="External"/><Relationship Id="rId83" Type="http://schemas.openxmlformats.org/officeDocument/2006/relationships/hyperlink" Target="https://www.rcslt.org/members/your-career/overseas-and-international/" TargetMode="External"/><Relationship Id="rId88" Type="http://schemas.openxmlformats.org/officeDocument/2006/relationships/hyperlink" Target="mailto:info@rcslt.org"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cpc-uk.org/standards/standards-of-proficiency/speech-and-language-therapists/" TargetMode="External"/><Relationship Id="rId23" Type="http://schemas.openxmlformats.org/officeDocument/2006/relationships/hyperlink" Target="https://www.hcpc-uk.org/resources/standards/standards-of-education-and-training/" TargetMode="External"/><Relationship Id="rId28" Type="http://schemas.openxmlformats.org/officeDocument/2006/relationships/hyperlink" Target="https://www.hcpc-uk.org/standards/standards-of-continuing-professional-development/" TargetMode="External"/><Relationship Id="rId36" Type="http://schemas.openxmlformats.org/officeDocument/2006/relationships/hyperlink" Target="https://www.rcslt.org/wp-content/uploads/2022/02/EDS-competency-examples.pdf" TargetMode="External"/><Relationship Id="rId49" Type="http://schemas.openxmlformats.org/officeDocument/2006/relationships/hyperlink" Target="https://www.hcpc-uk.org/standards/standards-of-conduct-performance-and-ethics/" TargetMode="External"/><Relationship Id="rId57" Type="http://schemas.openxmlformats.org/officeDocument/2006/relationships/hyperlink" Target="https://www.hcpc-uk.org/standards/standards-of-conduct-performance-and-ethics/" TargetMode="External"/><Relationship Id="rId10" Type="http://schemas.openxmlformats.org/officeDocument/2006/relationships/endnotes" Target="endnotes.xml"/><Relationship Id="rId31" Type="http://schemas.openxmlformats.org/officeDocument/2006/relationships/hyperlink" Target="https://www.rcslt.org/wp-content/uploads/2025/04/SLT-eating-drinking-and-swallowing_competency-framework_March25.docx" TargetMode="External"/><Relationship Id="rId44" Type="http://schemas.openxmlformats.org/officeDocument/2006/relationships/hyperlink" Target="https://www.hcpc-uk.org/resources/standards/standards-of-proficiency-speech-and-language-therapists/" TargetMode="External"/><Relationship Id="rId52" Type="http://schemas.openxmlformats.org/officeDocument/2006/relationships/hyperlink" Target="https://www.hcpc-uk.org/standards/standards-of-conduct-performance-and-ethics/" TargetMode="External"/><Relationship Id="rId60" Type="http://schemas.openxmlformats.org/officeDocument/2006/relationships/hyperlink" Target="https://www.hcpc-uk.org/standards/standards-of-continuing-professional-development/" TargetMode="External"/><Relationship Id="rId65" Type="http://schemas.openxmlformats.org/officeDocument/2006/relationships/hyperlink" Target="https://www.hcpc-uk.org/standards/standards-of-continuing-professional-development/" TargetMode="External"/><Relationship Id="rId73" Type="http://schemas.openxmlformats.org/officeDocument/2006/relationships/hyperlink" Target="https://www.rcslt.org/members/lifelong-learning/using-your-cpd-diary/" TargetMode="External"/><Relationship Id="rId78" Type="http://schemas.openxmlformats.org/officeDocument/2006/relationships/hyperlink" Target="https://www.rcslt.org/members/your-career/overseas-and-international/" TargetMode="External"/><Relationship Id="rId81" Type="http://schemas.openxmlformats.org/officeDocument/2006/relationships/hyperlink" Target="https://www.rcslt.org/members/your-career/overseas-and-international/" TargetMode="External"/><Relationship Id="rId86" Type="http://schemas.openxmlformats.org/officeDocument/2006/relationships/hyperlink" Target="mailto:info@rcslt.org"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rcslt.org/members/lifelong-learning/using-your-cpd-diary/" TargetMode="External"/><Relationship Id="rId39" Type="http://schemas.openxmlformats.org/officeDocument/2006/relationships/hyperlink" Target="https://www.rcslt.org/wp-content/uploads/2025/10/RCSLT-Curriculum-Guidance-October-2025-1.pdf" TargetMode="External"/><Relationship Id="rId34" Type="http://schemas.openxmlformats.org/officeDocument/2006/relationships/hyperlink" Target="https://www.hcpc-uk.org/resources/standards/standards-of-proficiency-speech-and-language-therapists/" TargetMode="External"/><Relationship Id="rId50" Type="http://schemas.openxmlformats.org/officeDocument/2006/relationships/hyperlink" Target="https://www.hcpc-uk.org/standards/standards-of-conduct-performance-and-ethics/" TargetMode="External"/><Relationship Id="rId55" Type="http://schemas.openxmlformats.org/officeDocument/2006/relationships/hyperlink" Target="https://www.hcpc-uk.org/standards/standards-of-conduct-performance-and-ethics/" TargetMode="External"/><Relationship Id="rId76" Type="http://schemas.openxmlformats.org/officeDocument/2006/relationships/hyperlink" Target="https://www.rcslt.org/members/your-career/overseas-and-international/"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cpc-uk.org/standards/standards-of-continuing-professional-development/"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rcslt.org/wp-content/uploads/2025/10/RCSLT-Curriculum-Guidance-October-2025-1.pdf" TargetMode="External"/><Relationship Id="rId24" Type="http://schemas.openxmlformats.org/officeDocument/2006/relationships/hyperlink" Target="https://www.hcpc-uk.org/resources/standards/standards-of-education-and-training/" TargetMode="External"/><Relationship Id="rId40" Type="http://schemas.openxmlformats.org/officeDocument/2006/relationships/hyperlink" Target="https://www.rcslt.org/learning/information-for-education-providers/practice-based-learning/practice-based-learning-guidance/" TargetMode="External"/><Relationship Id="rId45" Type="http://schemas.openxmlformats.org/officeDocument/2006/relationships/hyperlink" Target="https://www.hcpc-uk.org/resources/standards/standards-of-proficiency-speech-and-language-therapists/" TargetMode="External"/><Relationship Id="rId66" Type="http://schemas.openxmlformats.org/officeDocument/2006/relationships/hyperlink" Target="https://www.hcpc-uk.org/standards/standards-of-continuing-professional-development/" TargetMode="External"/><Relationship Id="rId87" Type="http://schemas.openxmlformats.org/officeDocument/2006/relationships/hyperlink" Target="http://www.rcslt.org/" TargetMode="External"/><Relationship Id="rId61" Type="http://schemas.openxmlformats.org/officeDocument/2006/relationships/hyperlink" Target="https://www.hcpc-uk.org/standards/standards-of-continuing-professional-development/" TargetMode="External"/><Relationship Id="rId82" Type="http://schemas.openxmlformats.org/officeDocument/2006/relationships/hyperlink" Target="https://www.rcslt.org/members/your-career/overseas-and-international/" TargetMode="External"/><Relationship Id="rId19" Type="http://schemas.openxmlformats.org/officeDocument/2006/relationships/hyperlink" Target="https://www.rcslt.org/members/lifelong-learning/using-your-cpd-diary/" TargetMode="External"/><Relationship Id="rId14" Type="http://schemas.openxmlformats.org/officeDocument/2006/relationships/hyperlink" Target="https://www.rcslt.org/wp-content/uploads/2025/10/RCSLT-Curriculum-Guidance-October-2025-1.pdf" TargetMode="External"/><Relationship Id="rId30" Type="http://schemas.openxmlformats.org/officeDocument/2006/relationships/hyperlink" Target="https://www.rcslt.org/learning/information-for-education-providers/practice-based-learning/practice-based-learning-guidance/" TargetMode="External"/><Relationship Id="rId35" Type="http://schemas.openxmlformats.org/officeDocument/2006/relationships/hyperlink" Target="https://www.hcpc-uk.org/resources/standards/standards-of-proficiency-speech-and-language-therapists/" TargetMode="External"/><Relationship Id="rId56" Type="http://schemas.openxmlformats.org/officeDocument/2006/relationships/hyperlink" Target="https://www.hcpc-uk.org/standards/standards-of-conduct-performance-and-ethics/" TargetMode="External"/><Relationship Id="rId77" Type="http://schemas.openxmlformats.org/officeDocument/2006/relationships/hyperlink" Target="https://www.rcslt.org/members/your-career/overseas-and-international/" TargetMode="External"/><Relationship Id="rId8" Type="http://schemas.openxmlformats.org/officeDocument/2006/relationships/webSettings" Target="webSettings.xml"/><Relationship Id="rId51" Type="http://schemas.openxmlformats.org/officeDocument/2006/relationships/hyperlink" Target="https://www.hcpc-uk.org/standards/standards-of-conduct-performance-and-ethics/" TargetMode="External"/><Relationship Id="rId72" Type="http://schemas.openxmlformats.org/officeDocument/2006/relationships/hyperlink" Target="https://www.rcslt.org/wp-content/uploads/2025/04/SLT-eating-drinking-and-swallowing_competency-framework_March25.docx" TargetMode="External"/><Relationship Id="rId9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e31a1-fb52-46d5-a3f2-544fd66b37d8" xsi:nil="true"/>
    <lcf76f155ced4ddcb4097134ff3c332f xmlns="fe034342-1a3f-4fc7-a6b0-57b9c2cb52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DC85639B19E74D8E64BD67A8A2FE5F" ma:contentTypeVersion="15" ma:contentTypeDescription="Create a new document." ma:contentTypeScope="" ma:versionID="4b350374401b9cc02f088391d7d50bba">
  <xsd:schema xmlns:xsd="http://www.w3.org/2001/XMLSchema" xmlns:xs="http://www.w3.org/2001/XMLSchema" xmlns:p="http://schemas.microsoft.com/office/2006/metadata/properties" xmlns:ns2="fe034342-1a3f-4fc7-a6b0-57b9c2cb5258" xmlns:ns3="a78e31a1-fb52-46d5-a3f2-544fd66b37d8" targetNamespace="http://schemas.microsoft.com/office/2006/metadata/properties" ma:root="true" ma:fieldsID="a7845fb7f2f02744426f97bea4e4dc42" ns2:_="" ns3:_="">
    <xsd:import namespace="fe034342-1a3f-4fc7-a6b0-57b9c2cb5258"/>
    <xsd:import namespace="a78e31a1-fb52-46d5-a3f2-544fd66b37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34342-1a3f-4fc7-a6b0-57b9c2cb5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e31a1-fb52-46d5-a3f2-544fd66b37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e3832f-88e2-49cc-9055-0bc422c816a3}" ma:internalName="TaxCatchAll" ma:showField="CatchAllData" ma:web="a78e31a1-fb52-46d5-a3f2-544fd66b3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0A7E8-6862-470D-A6D1-FADB9FE86159}">
  <ds:schemaRefs>
    <ds:schemaRef ds:uri="http://schemas.microsoft.com/office/2006/metadata/properties"/>
    <ds:schemaRef ds:uri="http://schemas.microsoft.com/office/infopath/2007/PartnerControls"/>
    <ds:schemaRef ds:uri="a78e31a1-fb52-46d5-a3f2-544fd66b37d8"/>
    <ds:schemaRef ds:uri="fe034342-1a3f-4fc7-a6b0-57b9c2cb5258"/>
  </ds:schemaRefs>
</ds:datastoreItem>
</file>

<file path=customXml/itemProps2.xml><?xml version="1.0" encoding="utf-8"?>
<ds:datastoreItem xmlns:ds="http://schemas.openxmlformats.org/officeDocument/2006/customXml" ds:itemID="{84B987AE-41F6-40F1-8FE0-66F245C89483}">
  <ds:schemaRefs>
    <ds:schemaRef ds:uri="http://schemas.microsoft.com/sharepoint/v3/contenttype/forms"/>
  </ds:schemaRefs>
</ds:datastoreItem>
</file>

<file path=customXml/itemProps3.xml><?xml version="1.0" encoding="utf-8"?>
<ds:datastoreItem xmlns:ds="http://schemas.openxmlformats.org/officeDocument/2006/customXml" ds:itemID="{135DB8DE-D3D8-49E6-947B-56982522768A}">
  <ds:schemaRefs>
    <ds:schemaRef ds:uri="http://schemas.openxmlformats.org/officeDocument/2006/bibliography"/>
  </ds:schemaRefs>
</ds:datastoreItem>
</file>

<file path=customXml/itemProps4.xml><?xml version="1.0" encoding="utf-8"?>
<ds:datastoreItem xmlns:ds="http://schemas.openxmlformats.org/officeDocument/2006/customXml" ds:itemID="{4FF8C5F7-5A01-4907-97EB-F1137DCA1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34342-1a3f-4fc7-a6b0-57b9c2cb5258"/>
    <ds:schemaRef ds:uri="a78e31a1-fb52-46d5-a3f2-544fd66b3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9732</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Hussain</dc:creator>
  <cp:keywords/>
  <dc:description/>
  <cp:lastModifiedBy>Millie Phillpot</cp:lastModifiedBy>
  <cp:revision>163</cp:revision>
  <cp:lastPrinted>2025-10-24T10:31:00Z</cp:lastPrinted>
  <dcterms:created xsi:type="dcterms:W3CDTF">2025-07-25T11:32:00Z</dcterms:created>
  <dcterms:modified xsi:type="dcterms:W3CDTF">2025-10-24T10:35:00Z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0x0101006FDC85639B19E74D8E64BD67A8A2FE5F</vt:lpwstr>
  </property>
  <property fmtid="{D5CDD505-2E9C-101B-9397-08002B2CF9AE}" pid="3" name="Order">
    <vt:r8>154800</vt:r8>
  </property>
  <property fmtid="{D5CDD505-2E9C-101B-9397-08002B2CF9AE}" pid="4" name="MediaServiceImageTags">
    <vt:lpwstr/>
  </property>
</Properties>
</file>