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521"/>
        <w:gridCol w:w="1887"/>
        <w:gridCol w:w="1999"/>
        <w:gridCol w:w="1715"/>
        <w:gridCol w:w="1146"/>
        <w:gridCol w:w="1267"/>
        <w:gridCol w:w="745"/>
        <w:gridCol w:w="1830"/>
      </w:tblGrid>
      <w:tr w:rsidR="00F02032" w:rsidRPr="00770520" w14:paraId="4B736B7A" w14:textId="77777777" w:rsidTr="00883058">
        <w:trPr>
          <w:cantSplit/>
          <w:trHeight w:val="96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CA832A" w14:textId="729B48C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Study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  <w:r w:rsidRPr="00883058">
              <w:rPr>
                <w:rFonts w:ascii="Open Sans" w:hAnsi="Open Sans" w:cs="Open Sans"/>
                <w:color w:val="FFFFFF" w:themeColor="background1"/>
              </w:rPr>
              <w:t>(first author/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  <w:p w14:paraId="2316E323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date, NAME)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147960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Participants (disease level, N=, controls)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13289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Intervention (group-individual)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7CA9BB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Primary outcome (main scale)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83D6E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Results 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A97E47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Follow-up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E310D" w14:textId="6BC16978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Comments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8C8F99" w14:textId="1FD3C7CC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Grade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DAC30" w14:textId="77777777" w:rsidR="00C717A4" w:rsidRPr="00DF05EA" w:rsidRDefault="00C717A4" w:rsidP="00DF05EA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</w:rPr>
            </w:pPr>
            <w:r w:rsidRPr="00883058">
              <w:rPr>
                <w:rFonts w:ascii="Open Sans" w:hAnsi="Open Sans" w:cs="Open Sans"/>
                <w:color w:val="FFFFFF" w:themeColor="background1"/>
              </w:rPr>
              <w:t>Study limitations</w:t>
            </w:r>
            <w:r w:rsidRPr="00DF05EA">
              <w:rPr>
                <w:rFonts w:ascii="Open Sans" w:hAnsi="Open Sans" w:cs="Open Sans"/>
                <w:color w:val="FFFFFF" w:themeColor="background1"/>
              </w:rPr>
              <w:t> </w:t>
            </w:r>
          </w:p>
        </w:tc>
      </w:tr>
      <w:tr w:rsidR="007F5E1D" w:rsidRPr="00770520" w14:paraId="56BBDDAC" w14:textId="77777777" w:rsidTr="00883058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68997" w14:textId="503C2B4C" w:rsidR="00C61BD2" w:rsidRPr="00770520" w:rsidRDefault="002F7506" w:rsidP="00C61BD2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fldChar w:fldCharType="begin"/>
            </w:r>
            <w:r w:rsidRPr="00770520">
              <w:rPr>
                <w:rFonts w:ascii="Open Sans" w:hAnsi="Open Sans" w:cs="Open Sans"/>
              </w:rPr>
              <w:instrText>HYPERLINK "https://www.prd-journal.com/article/S1353-8020(12)00380-X/abstract"</w:instrText>
            </w:r>
            <w:r w:rsidRPr="00770520">
              <w:rPr>
                <w:rFonts w:ascii="Open Sans" w:hAnsi="Open Sans" w:cs="Open Sans"/>
              </w:rPr>
            </w:r>
            <w:r w:rsidRPr="00770520">
              <w:rPr>
                <w:rFonts w:ascii="Open Sans" w:hAnsi="Open Sans" w:cs="Open Sans"/>
              </w:rPr>
              <w:fldChar w:fldCharType="separate"/>
            </w:r>
            <w:r w:rsidR="00C61BD2" w:rsidRPr="00770520">
              <w:rPr>
                <w:rStyle w:val="Hyperlink"/>
                <w:rFonts w:ascii="Open Sans" w:hAnsi="Open Sans" w:cs="Open Sans"/>
              </w:rPr>
              <w:t>Manor et al. (2013) </w:t>
            </w:r>
          </w:p>
          <w:p w14:paraId="6717A309" w14:textId="72C0192F" w:rsidR="008109ED" w:rsidRPr="008109ED" w:rsidRDefault="008109ED" w:rsidP="008109ED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8109ED">
              <w:rPr>
                <w:rStyle w:val="Hyperlink"/>
                <w:rFonts w:ascii="Open Sans" w:hAnsi="Open Sans" w:cs="Open Sans"/>
              </w:rPr>
              <w:t>Video-assisted </w:t>
            </w:r>
          </w:p>
          <w:p w14:paraId="1DA8A90E" w14:textId="27CA53C3" w:rsidR="00365E02" w:rsidRPr="00770520" w:rsidRDefault="008109ED" w:rsidP="002F7506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8109ED">
              <w:rPr>
                <w:rStyle w:val="Hyperlink"/>
                <w:rFonts w:ascii="Open Sans" w:hAnsi="Open Sans" w:cs="Open Sans"/>
              </w:rPr>
              <w:t>swallowing therapy for patients with Parkinson’s disease.</w:t>
            </w:r>
            <w:r w:rsidR="002F7506" w:rsidRPr="00770520">
              <w:rPr>
                <w:rFonts w:ascii="Open Sans" w:hAnsi="Open Sans" w:cs="Open Sans"/>
              </w:rPr>
              <w:fldChar w:fldCharType="end"/>
            </w:r>
            <w:r w:rsidRPr="008109ED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A4A23" w14:textId="0215536D" w:rsidR="00C61BD2" w:rsidRPr="00770520" w:rsidRDefault="00C61BD2" w:rsidP="00C61BD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42 (21 per group); H&amp;Y</w:t>
            </w:r>
            <w:r w:rsidR="005B091A">
              <w:rPr>
                <w:rFonts w:ascii="Open Sans" w:hAnsi="Open Sans" w:cs="Open Sans"/>
              </w:rPr>
              <w:t xml:space="preserve"> stage </w:t>
            </w:r>
            <w:r w:rsidRPr="00770520">
              <w:rPr>
                <w:rFonts w:ascii="Open Sans" w:hAnsi="Open Sans" w:cs="Open Sans"/>
              </w:rPr>
              <w:t>2; duration</w:t>
            </w:r>
            <w:r w:rsidR="007F5E1D">
              <w:rPr>
                <w:rFonts w:ascii="Open Sans" w:hAnsi="Open Sans" w:cs="Open Sans"/>
              </w:rPr>
              <w:t>:</w:t>
            </w:r>
            <w:r w:rsidR="005B091A">
              <w:rPr>
                <w:rFonts w:ascii="Open Sans" w:hAnsi="Open Sans" w:cs="Open Sans"/>
              </w:rPr>
              <w:t xml:space="preserve"> </w:t>
            </w:r>
            <w:r w:rsidR="007F5E1D">
              <w:rPr>
                <w:rFonts w:ascii="Open Sans" w:hAnsi="Open Sans" w:cs="Open Sans"/>
              </w:rPr>
              <w:t>seven</w:t>
            </w:r>
            <w:r w:rsidR="006552EF">
              <w:rPr>
                <w:rFonts w:ascii="Open Sans" w:hAnsi="Open Sans" w:cs="Open Sans"/>
              </w:rPr>
              <w:t xml:space="preserve"> </w:t>
            </w:r>
            <w:r w:rsidRPr="00770520">
              <w:rPr>
                <w:rFonts w:ascii="Open Sans" w:hAnsi="Open Sans" w:cs="Open Sans"/>
              </w:rPr>
              <w:t>y</w:t>
            </w:r>
            <w:r w:rsidR="006552EF">
              <w:rPr>
                <w:rFonts w:ascii="Open Sans" w:hAnsi="Open Sans" w:cs="Open Sans"/>
              </w:rPr>
              <w:t>ea</w:t>
            </w:r>
            <w:r w:rsidRPr="00770520">
              <w:rPr>
                <w:rFonts w:ascii="Open Sans" w:hAnsi="Open Sans" w:cs="Open Sans"/>
              </w:rPr>
              <w:t>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D2503" w14:textId="460FBCF4" w:rsidR="00C61BD2" w:rsidRPr="00770520" w:rsidRDefault="00C61BD2" w:rsidP="00C61BD2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>Video Assisted Swallowing Therapy (VAST) vs conventional therapy (mainly repeated forceful swallows) </w:t>
            </w:r>
          </w:p>
          <w:p w14:paraId="0CECBE7C" w14:textId="0B82A8BE" w:rsidR="00C61BD2" w:rsidRPr="00770520" w:rsidRDefault="007F5E1D" w:rsidP="00C61BD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Six</w:t>
            </w:r>
            <w:r w:rsidR="00C61BD2" w:rsidRPr="00770520">
              <w:rPr>
                <w:rFonts w:ascii="Open Sans" w:hAnsi="Open Sans" w:cs="Open Sans"/>
              </w:rPr>
              <w:t xml:space="preserve"> sessions each group</w:t>
            </w:r>
          </w:p>
          <w:p w14:paraId="0AAB0892" w14:textId="0B1D6117" w:rsidR="00C61BD2" w:rsidRPr="00770520" w:rsidRDefault="007F5E1D" w:rsidP="00C61BD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</w:rPr>
              <w:t>One-</w:t>
            </w:r>
            <w:r w:rsidR="00C61BD2" w:rsidRPr="00770520">
              <w:rPr>
                <w:rFonts w:ascii="Open Sans" w:hAnsi="Open Sans" w:cs="Open Sans"/>
              </w:rPr>
              <w:t>month follow</w:t>
            </w:r>
            <w:r>
              <w:rPr>
                <w:rFonts w:ascii="Open Sans" w:hAnsi="Open Sans" w:cs="Open Sans"/>
              </w:rPr>
              <w:t>-</w:t>
            </w:r>
            <w:r w:rsidR="00C61BD2" w:rsidRPr="00770520">
              <w:rPr>
                <w:rFonts w:ascii="Open Sans" w:hAnsi="Open Sans" w:cs="Open Sans"/>
              </w:rPr>
              <w:t>up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1860" w14:textId="5F360101" w:rsidR="00C61BD2" w:rsidRPr="00770520" w:rsidRDefault="00C61BD2" w:rsidP="00C61BD2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 xml:space="preserve">Degree of reduction of food residue in the larynx using </w:t>
            </w:r>
            <w:r w:rsidR="007F5E1D">
              <w:rPr>
                <w:rFonts w:ascii="Open Sans" w:hAnsi="Open Sans" w:cs="Open Sans"/>
              </w:rPr>
              <w:t>f</w:t>
            </w:r>
            <w:r w:rsidRPr="00770520">
              <w:rPr>
                <w:rFonts w:ascii="Open Sans" w:hAnsi="Open Sans" w:cs="Open Sans"/>
              </w:rPr>
              <w:t>ibreoptic endoscopic evaluation of swallowing (FEES)</w:t>
            </w:r>
          </w:p>
          <w:p w14:paraId="3D12DF0F" w14:textId="77777777" w:rsidR="00C61BD2" w:rsidRPr="00770520" w:rsidRDefault="00C61BD2" w:rsidP="00C61BD2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>Quality of life - pleasure from eating scale </w:t>
            </w:r>
          </w:p>
          <w:p w14:paraId="5E747313" w14:textId="77777777" w:rsidR="00C61BD2" w:rsidRPr="00770520" w:rsidRDefault="00C61BD2" w:rsidP="00C61BD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F75EC" w14:textId="1AA5A7DF" w:rsidR="00C61BD2" w:rsidRPr="00770520" w:rsidRDefault="00C61BD2" w:rsidP="00C61BD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VAST (education on the swallowing process using visual feedback from patient’s own swallowing) was most effective for amount of pharyngeal residue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F4631" w14:textId="71D48B7E" w:rsidR="00C61BD2" w:rsidRPr="00F02032" w:rsidRDefault="00880E46" w:rsidP="00C61BD2">
            <w:pPr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N</w:t>
            </w:r>
            <w:r w:rsidR="00C61BD2" w:rsidRPr="00F02032">
              <w:rPr>
                <w:rFonts w:ascii="Open Sans" w:hAnsi="Open Sans" w:cs="Open Sans"/>
              </w:rPr>
              <w:t>o long-term follow up  </w:t>
            </w:r>
          </w:p>
          <w:p w14:paraId="330BA64B" w14:textId="5CB14419" w:rsidR="00C61BD2" w:rsidRPr="00F02032" w:rsidRDefault="00C61BD2" w:rsidP="00C61BD2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750A1" w14:textId="27AF305B" w:rsidR="00C61BD2" w:rsidRPr="00F02032" w:rsidRDefault="00C1638C" w:rsidP="00C61BD2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Very applicable in clinical settings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D11F9" w14:textId="353741E6" w:rsidR="00C61BD2" w:rsidRPr="00F02032" w:rsidRDefault="00733005" w:rsidP="00C61BD2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18/22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5F2C" w14:textId="394B39BA" w:rsidR="00880E46" w:rsidRPr="00770520" w:rsidRDefault="00880E46" w:rsidP="00880E46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>Small sample size</w:t>
            </w:r>
          </w:p>
          <w:p w14:paraId="5E073CFF" w14:textId="77777777" w:rsidR="00C61BD2" w:rsidRPr="00770520" w:rsidRDefault="00C61BD2" w:rsidP="00C61BD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</w:p>
        </w:tc>
      </w:tr>
      <w:tr w:rsidR="00F02032" w:rsidRPr="00770520" w14:paraId="5FCC4CFA" w14:textId="77777777" w:rsidTr="00A43C2B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07BD6" w14:textId="338B02D9" w:rsidR="009D0CE2" w:rsidRPr="00770520" w:rsidRDefault="002D476F" w:rsidP="00B7340F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  <w:lang w:val="en-US"/>
              </w:rPr>
              <w:lastRenderedPageBreak/>
              <w:fldChar w:fldCharType="begin"/>
            </w:r>
            <w:r w:rsidRPr="00770520">
              <w:rPr>
                <w:rFonts w:ascii="Open Sans" w:hAnsi="Open Sans" w:cs="Open Sans"/>
                <w:lang w:val="en-US"/>
              </w:rPr>
              <w:instrText>HYPERLINK "https://onlinelibrary.wiley.com/doi/10.1002/lary.24119"</w:instrText>
            </w:r>
            <w:r w:rsidRPr="00770520">
              <w:rPr>
                <w:rFonts w:ascii="Open Sans" w:hAnsi="Open Sans" w:cs="Open Sans"/>
                <w:lang w:val="en-US"/>
              </w:rPr>
            </w:r>
            <w:r w:rsidRPr="00770520">
              <w:rPr>
                <w:rFonts w:ascii="Open Sans" w:hAnsi="Open Sans" w:cs="Open Sans"/>
                <w:lang w:val="en-US"/>
              </w:rPr>
              <w:fldChar w:fldCharType="separate"/>
            </w:r>
            <w:proofErr w:type="spellStart"/>
            <w:r w:rsidR="009D0CE2" w:rsidRPr="00770520">
              <w:rPr>
                <w:rStyle w:val="Hyperlink"/>
                <w:rFonts w:ascii="Open Sans" w:hAnsi="Open Sans" w:cs="Open Sans"/>
                <w:lang w:val="en-US"/>
              </w:rPr>
              <w:t>Biajens</w:t>
            </w:r>
            <w:proofErr w:type="spellEnd"/>
            <w:r w:rsidR="009D0CE2" w:rsidRPr="00770520">
              <w:rPr>
                <w:rStyle w:val="Hyperlink"/>
                <w:rFonts w:ascii="Open Sans" w:hAnsi="Open Sans" w:cs="Open Sans"/>
                <w:lang w:val="en-US"/>
              </w:rPr>
              <w:t xml:space="preserve"> et al. (2013)</w:t>
            </w:r>
            <w:r w:rsidR="009D0CE2" w:rsidRPr="00770520">
              <w:rPr>
                <w:rStyle w:val="Hyperlink"/>
                <w:rFonts w:ascii="Open Sans" w:hAnsi="Open Sans" w:cs="Open Sans"/>
              </w:rPr>
              <w:t> </w:t>
            </w:r>
          </w:p>
          <w:p w14:paraId="7561F69B" w14:textId="50DC537F" w:rsidR="009D0CE2" w:rsidRPr="00770520" w:rsidRDefault="007F5B95" w:rsidP="009D0CE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F5B95">
              <w:rPr>
                <w:rStyle w:val="Hyperlink"/>
                <w:rFonts w:ascii="Open Sans" w:hAnsi="Open Sans" w:cs="Open Sans"/>
              </w:rPr>
              <w:t>Surface electrical stimulation in dysphagic Parkinson patients: a randomized clinical trial.</w:t>
            </w:r>
            <w:r w:rsidR="002D476F" w:rsidRPr="00770520">
              <w:rPr>
                <w:rFonts w:ascii="Open Sans" w:hAnsi="Open Sans" w:cs="Open Sans"/>
                <w:lang w:val="en-US"/>
              </w:rPr>
              <w:fldChar w:fldCharType="end"/>
            </w:r>
            <w:r w:rsidRPr="007F5B95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E857B" w14:textId="5DAC33B5" w:rsidR="009D0CE2" w:rsidRPr="00770520" w:rsidRDefault="009D0CE2" w:rsidP="009D0CE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109; H&amp;Y</w:t>
            </w:r>
            <w:r w:rsidR="007F5E1D">
              <w:rPr>
                <w:rFonts w:ascii="Open Sans" w:hAnsi="Open Sans" w:cs="Open Sans"/>
              </w:rPr>
              <w:t xml:space="preserve"> stage </w:t>
            </w:r>
            <w:r w:rsidRPr="00770520">
              <w:rPr>
                <w:rFonts w:ascii="Open Sans" w:hAnsi="Open Sans" w:cs="Open Sans"/>
              </w:rPr>
              <w:t>2; duration</w:t>
            </w:r>
            <w:r w:rsidR="007F5E1D">
              <w:rPr>
                <w:rFonts w:ascii="Open Sans" w:hAnsi="Open Sans" w:cs="Open Sans"/>
              </w:rPr>
              <w:t>:</w:t>
            </w:r>
            <w:r w:rsidRPr="00770520">
              <w:rPr>
                <w:rFonts w:ascii="Open Sans" w:hAnsi="Open Sans" w:cs="Open Sans"/>
              </w:rPr>
              <w:t xml:space="preserve"> </w:t>
            </w:r>
            <w:r w:rsidR="007F5E1D">
              <w:rPr>
                <w:rFonts w:ascii="Open Sans" w:hAnsi="Open Sans" w:cs="Open Sans"/>
              </w:rPr>
              <w:t xml:space="preserve">five </w:t>
            </w:r>
            <w:r w:rsidRPr="00770520">
              <w:rPr>
                <w:rFonts w:ascii="Open Sans" w:hAnsi="Open Sans" w:cs="Open Sans"/>
              </w:rPr>
              <w:t>y</w:t>
            </w:r>
            <w:r w:rsidR="007F5E1D">
              <w:rPr>
                <w:rFonts w:ascii="Open Sans" w:hAnsi="Open Sans" w:cs="Open Sans"/>
              </w:rPr>
              <w:t>ea</w:t>
            </w:r>
            <w:r w:rsidRPr="00770520">
              <w:rPr>
                <w:rFonts w:ascii="Open Sans" w:hAnsi="Open Sans" w:cs="Open Sans"/>
              </w:rPr>
              <w:t>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2B757" w14:textId="4571AB43" w:rsidR="009D0CE2" w:rsidRPr="00770520" w:rsidRDefault="009D0CE2" w:rsidP="009D0CE2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>Conventional treatment only vs conventional treatment and Surface Electrical Stimulation (SES)-motor vs conventional treatment and SES-sensory</w:t>
            </w:r>
          </w:p>
          <w:p w14:paraId="5B938C2F" w14:textId="45CE9286" w:rsidR="009D0CE2" w:rsidRPr="00770520" w:rsidRDefault="009D0CE2" w:rsidP="007B4506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15 daily sessions for 30 min</w:t>
            </w:r>
            <w:r w:rsidR="007F5E1D">
              <w:rPr>
                <w:rFonts w:ascii="Open Sans" w:hAnsi="Open Sans" w:cs="Open Sans"/>
              </w:rPr>
              <w:t>utes</w:t>
            </w:r>
            <w:r w:rsidRPr="00770520">
              <w:rPr>
                <w:rFonts w:ascii="Open Sans" w:hAnsi="Open Sans" w:cs="Open Sans"/>
              </w:rPr>
              <w:t>; 85 different therapists.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5D25F" w14:textId="76ED8926" w:rsidR="009D0CE2" w:rsidRPr="00770520" w:rsidRDefault="009D0CE2" w:rsidP="009D0CE2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FEES and Videofluoroscopy (VFS)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7C8A8" w14:textId="77777777" w:rsidR="009D0CE2" w:rsidRPr="00770520" w:rsidRDefault="009D0CE2" w:rsidP="009D0CE2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>Improved swallowing with all treatments </w:t>
            </w:r>
          </w:p>
          <w:p w14:paraId="3114648C" w14:textId="2D880286" w:rsidR="009D0CE2" w:rsidRPr="00770520" w:rsidRDefault="009D0CE2" w:rsidP="007B4506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No significant differences between treatments</w:t>
            </w:r>
            <w:r w:rsidR="005A3139">
              <w:rPr>
                <w:rFonts w:ascii="Open Sans" w:hAnsi="Open Sans" w:cs="Open Sans"/>
              </w:rPr>
              <w:t>.</w:t>
            </w:r>
            <w:r w:rsidRPr="00770520">
              <w:rPr>
                <w:rFonts w:ascii="Open Sans" w:hAnsi="Open Sans" w:cs="Open Sans"/>
              </w:rPr>
              <w:t> 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2271F" w14:textId="2C54BA9C" w:rsidR="009D0CE2" w:rsidRPr="00F02032" w:rsidRDefault="0099768D" w:rsidP="009D0CE2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No follow-up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3CF6B" w14:textId="3D62E86B" w:rsidR="009D0CE2" w:rsidRPr="00F02032" w:rsidRDefault="0099768D" w:rsidP="009D0CE2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 xml:space="preserve">Difficulty applying SES in the clinic and lack of significant results for </w:t>
            </w:r>
            <w:proofErr w:type="spellStart"/>
            <w:r w:rsidRPr="00F02032">
              <w:rPr>
                <w:rFonts w:ascii="Open Sans" w:hAnsi="Open Sans" w:cs="Open Sans"/>
              </w:rPr>
              <w:t>PwP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8F8CA" w14:textId="1C149626" w:rsidR="009D0CE2" w:rsidRPr="00F02032" w:rsidRDefault="008F2E4B" w:rsidP="009D0CE2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14/22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0EA37" w14:textId="285BADDE" w:rsidR="00444FC1" w:rsidRPr="00770520" w:rsidRDefault="00444FC1" w:rsidP="00444FC1">
            <w:pPr>
              <w:rPr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</w:rPr>
              <w:t>Too many variables, measurements and therapists </w:t>
            </w:r>
          </w:p>
          <w:p w14:paraId="792641FA" w14:textId="65262962" w:rsidR="00444FC1" w:rsidRPr="00770520" w:rsidRDefault="00A43C2B" w:rsidP="00444FC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</w:t>
            </w:r>
            <w:r w:rsidR="00444FC1" w:rsidRPr="00770520">
              <w:rPr>
                <w:rFonts w:ascii="Open Sans" w:hAnsi="Open Sans" w:cs="Open Sans"/>
              </w:rPr>
              <w:t>oo many muscles in the submental region so high chance for no significance</w:t>
            </w:r>
          </w:p>
          <w:p w14:paraId="002D2AB7" w14:textId="73A4E5E9" w:rsidR="009D0CE2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SES tool alone may not be able to trigger changes in the central or peripheral nerve system in PD</w:t>
            </w:r>
            <w:r w:rsidR="00A43C2B">
              <w:rPr>
                <w:rFonts w:ascii="Open Sans" w:hAnsi="Open Sans" w:cs="Open Sans"/>
              </w:rPr>
              <w:t>.</w:t>
            </w:r>
          </w:p>
        </w:tc>
      </w:tr>
      <w:tr w:rsidR="007F5E1D" w:rsidRPr="00770520" w14:paraId="76F5D772" w14:textId="77777777" w:rsidTr="007B4506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E69E6" w14:textId="15640B46" w:rsidR="00444FC1" w:rsidRPr="00770520" w:rsidRDefault="001A760D" w:rsidP="001A760D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  <w:lang w:val="en"/>
              </w:rPr>
              <w:lastRenderedPageBreak/>
              <w:fldChar w:fldCharType="begin"/>
            </w:r>
            <w:r w:rsidRPr="00770520">
              <w:rPr>
                <w:rFonts w:ascii="Open Sans" w:hAnsi="Open Sans" w:cs="Open Sans"/>
                <w:lang w:val="en"/>
              </w:rPr>
              <w:instrText>HYPERLINK "https://movementdisorders.onlinelibrary.wiley.com/doi/10.1002/mds.29268"</w:instrText>
            </w:r>
            <w:r w:rsidRPr="00770520">
              <w:rPr>
                <w:rFonts w:ascii="Open Sans" w:hAnsi="Open Sans" w:cs="Open Sans"/>
                <w:lang w:val="en"/>
              </w:rPr>
            </w:r>
            <w:r w:rsidRPr="00770520">
              <w:rPr>
                <w:rFonts w:ascii="Open Sans" w:hAnsi="Open Sans" w:cs="Open Sans"/>
                <w:lang w:val="en"/>
              </w:rPr>
              <w:fldChar w:fldCharType="separate"/>
            </w:r>
            <w:r w:rsidR="00444FC1" w:rsidRPr="00770520">
              <w:rPr>
                <w:rStyle w:val="Hyperlink"/>
                <w:rFonts w:ascii="Open Sans" w:hAnsi="Open Sans" w:cs="Open Sans"/>
                <w:lang w:val="en"/>
              </w:rPr>
              <w:t>Troche et al (202</w:t>
            </w:r>
            <w:r w:rsidR="0068128B">
              <w:rPr>
                <w:rStyle w:val="Hyperlink"/>
                <w:rFonts w:ascii="Open Sans" w:hAnsi="Open Sans" w:cs="Open Sans"/>
                <w:lang w:val="en"/>
              </w:rPr>
              <w:t>2</w:t>
            </w:r>
            <w:r w:rsidR="00444FC1" w:rsidRPr="00770520">
              <w:rPr>
                <w:rStyle w:val="Hyperlink"/>
                <w:rFonts w:ascii="Open Sans" w:hAnsi="Open Sans" w:cs="Open Sans"/>
                <w:lang w:val="en"/>
              </w:rPr>
              <w:t>) </w:t>
            </w:r>
            <w:r w:rsidR="00444FC1" w:rsidRPr="00770520">
              <w:rPr>
                <w:rStyle w:val="Hyperlink"/>
                <w:rFonts w:ascii="Open Sans" w:hAnsi="Open Sans" w:cs="Open Sans"/>
              </w:rPr>
              <w:t> </w:t>
            </w:r>
          </w:p>
          <w:p w14:paraId="6ECE1CF0" w14:textId="21418FDC" w:rsidR="007E16A8" w:rsidRPr="00770520" w:rsidRDefault="007E16A8" w:rsidP="001A760D">
            <w:pPr>
              <w:spacing w:after="0" w:line="240" w:lineRule="auto"/>
              <w:rPr>
                <w:rFonts w:ascii="Open Sans" w:hAnsi="Open Sans" w:cs="Open Sans"/>
              </w:rPr>
            </w:pPr>
            <w:r w:rsidRPr="007E16A8">
              <w:rPr>
                <w:rStyle w:val="Hyperlink"/>
                <w:rFonts w:ascii="Open Sans" w:hAnsi="Open Sans" w:cs="Open Sans"/>
              </w:rPr>
              <w:t xml:space="preserve">Rehabilitating </w:t>
            </w:r>
            <w:r w:rsidR="00F33019" w:rsidRPr="00770520">
              <w:rPr>
                <w:rStyle w:val="Hyperlink"/>
                <w:rFonts w:ascii="Open Sans" w:hAnsi="Open Sans" w:cs="Open Sans"/>
              </w:rPr>
              <w:t>c</w:t>
            </w:r>
            <w:r w:rsidRPr="007E16A8">
              <w:rPr>
                <w:rStyle w:val="Hyperlink"/>
                <w:rFonts w:ascii="Open Sans" w:hAnsi="Open Sans" w:cs="Open Sans"/>
              </w:rPr>
              <w:t xml:space="preserve">ough </w:t>
            </w:r>
            <w:r w:rsidR="00F33019" w:rsidRPr="00770520">
              <w:rPr>
                <w:rStyle w:val="Hyperlink"/>
                <w:rFonts w:ascii="Open Sans" w:hAnsi="Open Sans" w:cs="Open Sans"/>
              </w:rPr>
              <w:t>d</w:t>
            </w:r>
            <w:r w:rsidRPr="007E16A8">
              <w:rPr>
                <w:rStyle w:val="Hyperlink"/>
                <w:rFonts w:ascii="Open Sans" w:hAnsi="Open Sans" w:cs="Open Sans"/>
              </w:rPr>
              <w:t xml:space="preserve">ysfunction in Parkinson's Disease: A </w:t>
            </w:r>
            <w:r w:rsidR="00F33019" w:rsidRPr="00770520">
              <w:rPr>
                <w:rStyle w:val="Hyperlink"/>
                <w:rFonts w:ascii="Open Sans" w:hAnsi="Open Sans" w:cs="Open Sans"/>
              </w:rPr>
              <w:t>r</w:t>
            </w:r>
            <w:r w:rsidRPr="007E16A8">
              <w:rPr>
                <w:rStyle w:val="Hyperlink"/>
                <w:rFonts w:ascii="Open Sans" w:hAnsi="Open Sans" w:cs="Open Sans"/>
              </w:rPr>
              <w:t xml:space="preserve">andomized </w:t>
            </w:r>
            <w:r w:rsidR="00F33019" w:rsidRPr="00770520">
              <w:rPr>
                <w:rStyle w:val="Hyperlink"/>
                <w:rFonts w:ascii="Open Sans" w:hAnsi="Open Sans" w:cs="Open Sans"/>
              </w:rPr>
              <w:t>c</w:t>
            </w:r>
            <w:r w:rsidRPr="007E16A8">
              <w:rPr>
                <w:rStyle w:val="Hyperlink"/>
                <w:rFonts w:ascii="Open Sans" w:hAnsi="Open Sans" w:cs="Open Sans"/>
              </w:rPr>
              <w:t xml:space="preserve">ontrolled </w:t>
            </w:r>
            <w:r w:rsidR="00F33019" w:rsidRPr="00770520">
              <w:rPr>
                <w:rStyle w:val="Hyperlink"/>
                <w:rFonts w:ascii="Open Sans" w:hAnsi="Open Sans" w:cs="Open Sans"/>
              </w:rPr>
              <w:t>t</w:t>
            </w:r>
            <w:r w:rsidRPr="007E16A8">
              <w:rPr>
                <w:rStyle w:val="Hyperlink"/>
                <w:rFonts w:ascii="Open Sans" w:hAnsi="Open Sans" w:cs="Open Sans"/>
              </w:rPr>
              <w:t>rial</w:t>
            </w:r>
            <w:r w:rsidR="001A760D" w:rsidRPr="00770520">
              <w:rPr>
                <w:rFonts w:ascii="Open Sans" w:hAnsi="Open Sans" w:cs="Open Sans"/>
                <w:lang w:val="en"/>
              </w:rPr>
              <w:fldChar w:fldCharType="end"/>
            </w:r>
          </w:p>
          <w:p w14:paraId="607381D5" w14:textId="12696844" w:rsidR="007E16A8" w:rsidRPr="00770520" w:rsidRDefault="007E16A8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8A477" w14:textId="11655E73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 xml:space="preserve">N=65 received either EMST N=34 or </w:t>
            </w:r>
            <w:proofErr w:type="spellStart"/>
            <w:r w:rsidRPr="00770520">
              <w:rPr>
                <w:rFonts w:ascii="Open Sans" w:hAnsi="Open Sans" w:cs="Open Sans"/>
              </w:rPr>
              <w:t>smTAP</w:t>
            </w:r>
            <w:proofErr w:type="spellEnd"/>
            <w:r w:rsidRPr="00770520">
              <w:rPr>
                <w:rFonts w:ascii="Open Sans" w:hAnsi="Open Sans" w:cs="Open Sans"/>
              </w:rPr>
              <w:t xml:space="preserve"> (N=31)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A4C22" w14:textId="45B442CF" w:rsidR="00444FC1" w:rsidRPr="00770520" w:rsidRDefault="007F5E1D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</w:rPr>
              <w:t>Five</w:t>
            </w:r>
            <w:r w:rsidR="00444FC1" w:rsidRPr="00770520">
              <w:rPr>
                <w:rFonts w:ascii="Open Sans" w:hAnsi="Open Sans" w:cs="Open Sans"/>
              </w:rPr>
              <w:t xml:space="preserve"> weeks of training for each therapy with a spirometry set up. Participants were given a subthreshold of capsaicin to allow for training and were direct</w:t>
            </w:r>
            <w:r>
              <w:rPr>
                <w:rFonts w:ascii="Open Sans" w:hAnsi="Open Sans" w:cs="Open Sans"/>
              </w:rPr>
              <w:t>ed</w:t>
            </w:r>
            <w:r w:rsidR="00444FC1" w:rsidRPr="00770520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‘</w:t>
            </w:r>
            <w:r w:rsidR="00444FC1" w:rsidRPr="00770520">
              <w:rPr>
                <w:rFonts w:ascii="Open Sans" w:hAnsi="Open Sans" w:cs="Open Sans"/>
              </w:rPr>
              <w:t>cough hard</w:t>
            </w:r>
            <w:r>
              <w:rPr>
                <w:rFonts w:ascii="Open Sans" w:hAnsi="Open Sans" w:cs="Open Sans"/>
              </w:rPr>
              <w:t>’.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7AB90" w14:textId="7CF76ADC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Voluntary cough PEFR and MEP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D8CC7" w14:textId="22EBD5A8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 xml:space="preserve">Significant improvement of cough function with </w:t>
            </w:r>
            <w:proofErr w:type="spellStart"/>
            <w:r w:rsidRPr="00770520">
              <w:rPr>
                <w:rFonts w:ascii="Open Sans" w:hAnsi="Open Sans" w:cs="Open Sans"/>
              </w:rPr>
              <w:t>smTAP</w:t>
            </w:r>
            <w:proofErr w:type="spellEnd"/>
            <w:r w:rsidRPr="00770520">
              <w:rPr>
                <w:rFonts w:ascii="Open Sans" w:hAnsi="Open Sans" w:cs="Open Sans"/>
              </w:rPr>
              <w:t xml:space="preserve"> compared to EMST</w:t>
            </w:r>
            <w:r w:rsidR="007F5E1D">
              <w:rPr>
                <w:rFonts w:ascii="Open Sans" w:hAnsi="Open Sans" w:cs="Open San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E837C" w14:textId="620890BC" w:rsidR="00444FC1" w:rsidRPr="00F02032" w:rsidRDefault="008F2E4B" w:rsidP="00444FC1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No long-term follow-up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71A0A" w14:textId="6C385D29" w:rsidR="00444FC1" w:rsidRPr="00F02032" w:rsidRDefault="008F2E4B" w:rsidP="00444FC1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Spirometer set up and capsaicin need to be replicated in clinical setting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EE459" w14:textId="005D6A6D" w:rsidR="00444FC1" w:rsidRPr="00F02032" w:rsidRDefault="00F02032" w:rsidP="00444FC1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16/22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B07C5" w14:textId="1324D257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Still need to link cough effectiveness to swallowing</w:t>
            </w:r>
            <w:r w:rsidR="007F5E1D">
              <w:rPr>
                <w:rFonts w:ascii="Open Sans" w:hAnsi="Open Sans" w:cs="Open Sans"/>
              </w:rPr>
              <w:t>.</w:t>
            </w:r>
          </w:p>
        </w:tc>
      </w:tr>
      <w:tr w:rsidR="00F02032" w:rsidRPr="00770520" w14:paraId="2A291E77" w14:textId="77777777" w:rsidTr="00A43C2B">
        <w:trPr>
          <w:cantSplit/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275DA" w14:textId="5590BFFF" w:rsidR="00444FC1" w:rsidRPr="00770520" w:rsidRDefault="00770520" w:rsidP="008B068D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770520">
              <w:rPr>
                <w:rFonts w:ascii="Open Sans" w:hAnsi="Open Sans" w:cs="Open Sans"/>
                <w:lang w:val="de-DE"/>
              </w:rPr>
              <w:fldChar w:fldCharType="begin"/>
            </w:r>
            <w:r w:rsidRPr="00770520">
              <w:rPr>
                <w:rFonts w:ascii="Open Sans" w:hAnsi="Open Sans" w:cs="Open Sans"/>
                <w:lang w:val="de-DE"/>
              </w:rPr>
              <w:instrText>HYPERLINK "https://pubmed.ncbi.nlm.nih.gov/21098406/"</w:instrText>
            </w:r>
            <w:r w:rsidRPr="00770520">
              <w:rPr>
                <w:rFonts w:ascii="Open Sans" w:hAnsi="Open Sans" w:cs="Open Sans"/>
                <w:lang w:val="de-DE"/>
              </w:rPr>
            </w:r>
            <w:r w:rsidRPr="00770520">
              <w:rPr>
                <w:rFonts w:ascii="Open Sans" w:hAnsi="Open Sans" w:cs="Open Sans"/>
                <w:lang w:val="de-DE"/>
              </w:rPr>
              <w:fldChar w:fldCharType="separate"/>
            </w:r>
            <w:r w:rsidR="00444FC1" w:rsidRPr="00770520">
              <w:rPr>
                <w:rStyle w:val="Hyperlink"/>
                <w:rFonts w:ascii="Open Sans" w:hAnsi="Open Sans" w:cs="Open Sans"/>
                <w:lang w:val="de-DE"/>
              </w:rPr>
              <w:t>Troche</w:t>
            </w:r>
            <w:r w:rsidR="001A760D" w:rsidRPr="00770520">
              <w:rPr>
                <w:rStyle w:val="Hyperlink"/>
                <w:rFonts w:ascii="Open Sans" w:hAnsi="Open Sans" w:cs="Open Sans"/>
                <w:lang w:val="de-DE"/>
              </w:rPr>
              <w:t xml:space="preserve"> </w:t>
            </w:r>
            <w:r w:rsidR="00444FC1" w:rsidRPr="00770520">
              <w:rPr>
                <w:rStyle w:val="Hyperlink"/>
                <w:rFonts w:ascii="Open Sans" w:hAnsi="Open Sans" w:cs="Open Sans"/>
                <w:lang w:val="de-DE"/>
              </w:rPr>
              <w:t>et al 2010 </w:t>
            </w:r>
            <w:r w:rsidR="00444FC1" w:rsidRPr="00770520">
              <w:rPr>
                <w:rStyle w:val="Hyperlink"/>
                <w:rFonts w:ascii="Open Sans" w:hAnsi="Open Sans" w:cs="Open Sans"/>
              </w:rPr>
              <w:t> </w:t>
            </w:r>
          </w:p>
          <w:p w14:paraId="2ECCA625" w14:textId="4658ADB1" w:rsidR="00214C06" w:rsidRPr="00214C06" w:rsidRDefault="008B068D" w:rsidP="008B068D">
            <w:pPr>
              <w:spacing w:after="0" w:line="240" w:lineRule="auto"/>
              <w:rPr>
                <w:rStyle w:val="Hyperlink"/>
                <w:rFonts w:ascii="Open Sans" w:hAnsi="Open Sans" w:cs="Open Sans"/>
              </w:rPr>
            </w:pPr>
            <w:r w:rsidRPr="00770520">
              <w:rPr>
                <w:rStyle w:val="Hyperlink"/>
                <w:rFonts w:ascii="Open Sans" w:hAnsi="Open Sans" w:cs="Open Sans"/>
              </w:rPr>
              <w:t>A</w:t>
            </w:r>
            <w:r w:rsidR="00214C06" w:rsidRPr="00214C06">
              <w:rPr>
                <w:rStyle w:val="Hyperlink"/>
                <w:rFonts w:ascii="Open Sans" w:hAnsi="Open Sans" w:cs="Open Sans"/>
              </w:rPr>
              <w:t>spiration and </w:t>
            </w:r>
          </w:p>
          <w:p w14:paraId="2E2133B7" w14:textId="3560EE18" w:rsidR="00214C06" w:rsidRPr="00770520" w:rsidRDefault="00214C06" w:rsidP="008B068D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214C06">
              <w:rPr>
                <w:rStyle w:val="Hyperlink"/>
                <w:rFonts w:ascii="Open Sans" w:hAnsi="Open Sans" w:cs="Open Sans"/>
              </w:rPr>
              <w:t>swallowing in Parkinson disease and rehabilitation with EMST: A randomized trial. </w:t>
            </w:r>
            <w:r w:rsidR="00770520" w:rsidRPr="00770520">
              <w:rPr>
                <w:rFonts w:ascii="Open Sans" w:hAnsi="Open Sans" w:cs="Open San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9B438" w14:textId="2A48ACA0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222D7864">
              <w:rPr>
                <w:rFonts w:ascii="Open Sans" w:hAnsi="Open Sans" w:cs="Open Sans"/>
              </w:rPr>
              <w:t xml:space="preserve">N=60 </w:t>
            </w:r>
            <w:proofErr w:type="spellStart"/>
            <w:r w:rsidRPr="222D7864">
              <w:rPr>
                <w:rFonts w:ascii="Open Sans" w:hAnsi="Open Sans" w:cs="Open Sans"/>
              </w:rPr>
              <w:t>PwP</w:t>
            </w:r>
            <w:proofErr w:type="spellEnd"/>
            <w:r w:rsidRPr="222D7864">
              <w:rPr>
                <w:rFonts w:ascii="Open Sans" w:hAnsi="Open Sans" w:cs="Open Sans"/>
              </w:rPr>
              <w:t xml:space="preserve"> divided in </w:t>
            </w:r>
            <w:r w:rsidR="007F5E1D">
              <w:rPr>
                <w:rFonts w:ascii="Open Sans" w:hAnsi="Open Sans" w:cs="Open Sans"/>
              </w:rPr>
              <w:t>two</w:t>
            </w:r>
            <w:r w:rsidRPr="222D7864">
              <w:rPr>
                <w:rFonts w:ascii="Open Sans" w:hAnsi="Open Sans" w:cs="Open Sans"/>
              </w:rPr>
              <w:t xml:space="preserve"> groups (real a</w:t>
            </w:r>
            <w:r w:rsidR="4ADC59B9" w:rsidRPr="222D7864">
              <w:rPr>
                <w:rFonts w:ascii="Open Sans" w:hAnsi="Open Sans" w:cs="Open Sans"/>
              </w:rPr>
              <w:t>n</w:t>
            </w:r>
            <w:r w:rsidRPr="222D7864">
              <w:rPr>
                <w:rFonts w:ascii="Open Sans" w:hAnsi="Open Sans" w:cs="Open Sans"/>
              </w:rPr>
              <w:t>d sham EMST device)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39FC9" w14:textId="30508370" w:rsidR="00444FC1" w:rsidRPr="00770520" w:rsidRDefault="007F5E1D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</w:rPr>
              <w:t>Four</w:t>
            </w:r>
            <w:r w:rsidR="00444FC1" w:rsidRPr="00770520">
              <w:rPr>
                <w:rFonts w:ascii="Open Sans" w:hAnsi="Open Sans" w:cs="Open Sans"/>
              </w:rPr>
              <w:t xml:space="preserve"> weeks, </w:t>
            </w:r>
            <w:r>
              <w:rPr>
                <w:rFonts w:ascii="Open Sans" w:hAnsi="Open Sans" w:cs="Open Sans"/>
              </w:rPr>
              <w:t>five</w:t>
            </w:r>
            <w:r w:rsidR="00444FC1" w:rsidRPr="00770520">
              <w:rPr>
                <w:rFonts w:ascii="Open Sans" w:hAnsi="Open Sans" w:cs="Open Sans"/>
              </w:rPr>
              <w:t xml:space="preserve"> days per week, for 20 minutes per day</w:t>
            </w:r>
            <w:r>
              <w:rPr>
                <w:rFonts w:ascii="Open Sans" w:hAnsi="Open Sans" w:cs="Open San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5BAE3" w14:textId="224EC781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Measures of swallow function (Penetration-aspiration PA scale scores), swallow timing and hyoid movement from VFS images.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F5A47" w14:textId="3EFC023A" w:rsidR="00444FC1" w:rsidRPr="00770520" w:rsidRDefault="00444FC1" w:rsidP="00444FC1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Active treatment group significantly improved PA scores</w:t>
            </w:r>
            <w:r w:rsidR="007F5E1D">
              <w:rPr>
                <w:rFonts w:ascii="Open Sans" w:hAnsi="Open Sans" w:cs="Open Sans"/>
              </w:rPr>
              <w:t>.</w:t>
            </w:r>
            <w:r w:rsidRPr="00770520">
              <w:rPr>
                <w:rFonts w:ascii="Open Sans" w:hAnsi="Open Sans" w:cs="Open Sans"/>
              </w:rPr>
              <w:t>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1808" w14:textId="76528A0F" w:rsidR="00444FC1" w:rsidRPr="00F02032" w:rsidRDefault="00F02032" w:rsidP="00444FC1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No follow-up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1B442" w14:textId="4BB4401F" w:rsidR="00444FC1" w:rsidRPr="00F02032" w:rsidRDefault="00F02032" w:rsidP="00444FC1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Very applicable in clinical setting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D4182" w14:textId="72DDEA51" w:rsidR="00444FC1" w:rsidRPr="00F02032" w:rsidRDefault="00F02032" w:rsidP="00444FC1">
            <w:pPr>
              <w:spacing w:after="0"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18/22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70A0B" w14:textId="7C000530" w:rsidR="00444FC1" w:rsidRPr="00770520" w:rsidRDefault="00444FC1" w:rsidP="007B4506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520">
              <w:rPr>
                <w:rFonts w:ascii="Open Sans" w:hAnsi="Open Sans" w:cs="Open Sans"/>
              </w:rPr>
              <w:t>High evidence</w:t>
            </w:r>
            <w:r w:rsidR="006552EF">
              <w:rPr>
                <w:rFonts w:ascii="Open Sans" w:hAnsi="Open Sans" w:cs="Open Sans"/>
              </w:rPr>
              <w:t xml:space="preserve"> b</w:t>
            </w:r>
            <w:r w:rsidRPr="00770520">
              <w:rPr>
                <w:rFonts w:ascii="Open Sans" w:hAnsi="Open Sans" w:cs="Open Sans"/>
              </w:rPr>
              <w:t>ut difficult to implement in a clinic</w:t>
            </w:r>
            <w:r w:rsidR="007F5E1D">
              <w:rPr>
                <w:rFonts w:ascii="Open Sans" w:hAnsi="Open Sans" w:cs="Open Sans"/>
              </w:rPr>
              <w:t>.</w:t>
            </w:r>
          </w:p>
        </w:tc>
      </w:tr>
      <w:tr w:rsidR="00F02032" w14:paraId="1E109D46" w14:textId="77777777" w:rsidTr="00A43C2B">
        <w:trPr>
          <w:cantSplit/>
          <w:trHeight w:val="300"/>
        </w:trPr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EBDEB" w14:textId="3B5AC68D" w:rsidR="73493864" w:rsidRDefault="1462B10B" w:rsidP="222D7864">
            <w:pPr>
              <w:spacing w:line="240" w:lineRule="auto"/>
              <w:rPr>
                <w:rFonts w:ascii="Open Sans" w:hAnsi="Open Sans" w:cs="Open Sans"/>
                <w:lang w:val="de-DE"/>
              </w:rPr>
            </w:pPr>
            <w:hyperlink r:id="rId10">
              <w:r w:rsidRPr="7851442F">
                <w:rPr>
                  <w:rStyle w:val="Hyperlink"/>
                  <w:rFonts w:ascii="Open Sans" w:hAnsi="Open Sans" w:cs="Open Sans"/>
                  <w:lang w:val="de-DE"/>
                </w:rPr>
                <w:t>Athukorala et al, 2014</w:t>
              </w:r>
              <w:r w:rsidR="60652D7C" w:rsidRPr="7851442F">
                <w:rPr>
                  <w:rStyle w:val="Hyperlink"/>
                  <w:rFonts w:ascii="Open Sans" w:hAnsi="Open Sans" w:cs="Open Sans"/>
                  <w:lang w:val="de-DE"/>
                </w:rPr>
                <w:t xml:space="preserve">. </w:t>
              </w:r>
              <w:r w:rsidR="73493864" w:rsidRPr="7851442F">
                <w:rPr>
                  <w:rStyle w:val="Hyperlink"/>
                  <w:rFonts w:ascii="Open Sans" w:hAnsi="Open Sans" w:cs="Open Sans"/>
                  <w:lang w:val="en-US"/>
                </w:rPr>
                <w:t>Skill</w:t>
              </w:r>
              <w:r w:rsidRPr="7851442F">
                <w:rPr>
                  <w:rStyle w:val="Hyperlink"/>
                  <w:rFonts w:ascii="Open Sans" w:hAnsi="Open Sans" w:cs="Open Sans"/>
                  <w:lang w:val="en-US"/>
                </w:rPr>
                <w:t xml:space="preserve"> training for swallowing </w:t>
              </w:r>
              <w:r w:rsidR="051C61C7" w:rsidRPr="7851442F">
                <w:rPr>
                  <w:rStyle w:val="Hyperlink"/>
                  <w:rFonts w:ascii="Open Sans" w:hAnsi="Open Sans" w:cs="Open Sans"/>
                  <w:lang w:val="en-US"/>
                </w:rPr>
                <w:t>rehabilitation</w:t>
              </w:r>
              <w:r w:rsidRPr="7851442F">
                <w:rPr>
                  <w:rStyle w:val="Hyperlink"/>
                  <w:rFonts w:ascii="Open Sans" w:hAnsi="Open Sans" w:cs="Open Sans"/>
                  <w:lang w:val="en-US"/>
                </w:rPr>
                <w:t xml:space="preserve"> in </w:t>
              </w:r>
              <w:r w:rsidR="1FB45FCE" w:rsidRPr="7851442F">
                <w:rPr>
                  <w:rStyle w:val="Hyperlink"/>
                  <w:rFonts w:ascii="Open Sans" w:hAnsi="Open Sans" w:cs="Open Sans"/>
                  <w:lang w:val="en-US"/>
                </w:rPr>
                <w:t>Patients</w:t>
              </w:r>
              <w:r w:rsidRPr="7851442F">
                <w:rPr>
                  <w:rStyle w:val="Hyperlink"/>
                  <w:rFonts w:ascii="Open Sans" w:hAnsi="Open Sans" w:cs="Open Sans"/>
                  <w:lang w:val="en-US"/>
                </w:rPr>
                <w:t xml:space="preserve"> with Parkinson’s disease.</w:t>
              </w:r>
            </w:hyperlink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45AA7" w14:textId="5E632169" w:rsidR="1462B10B" w:rsidRDefault="1462B10B" w:rsidP="222D7864">
            <w:pPr>
              <w:spacing w:line="240" w:lineRule="auto"/>
              <w:rPr>
                <w:rFonts w:ascii="Open Sans" w:hAnsi="Open Sans" w:cs="Open Sans"/>
              </w:rPr>
            </w:pPr>
            <w:r w:rsidRPr="222D7864">
              <w:rPr>
                <w:rFonts w:ascii="Open Sans" w:hAnsi="Open Sans" w:cs="Open Sans"/>
              </w:rPr>
              <w:t xml:space="preserve">N=10 </w:t>
            </w:r>
            <w:proofErr w:type="spellStart"/>
            <w:r w:rsidRPr="222D7864">
              <w:rPr>
                <w:rFonts w:ascii="Open Sans" w:hAnsi="Open Sans" w:cs="Open Sans"/>
              </w:rPr>
              <w:t>PwP</w:t>
            </w:r>
            <w:proofErr w:type="spellEnd"/>
            <w:r w:rsidRPr="222D7864">
              <w:rPr>
                <w:rFonts w:ascii="Open Sans" w:hAnsi="Open Sans" w:cs="Open Sans"/>
              </w:rPr>
              <w:t xml:space="preserve"> </w:t>
            </w:r>
          </w:p>
          <w:p w14:paraId="0E6AE16C" w14:textId="174DEED6" w:rsidR="2DA14C8B" w:rsidRDefault="2DA14C8B" w:rsidP="222D7864">
            <w:pPr>
              <w:spacing w:line="240" w:lineRule="auto"/>
              <w:rPr>
                <w:rFonts w:ascii="Open Sans" w:hAnsi="Open Sans" w:cs="Open Sans"/>
              </w:rPr>
            </w:pPr>
            <w:r w:rsidRPr="222D7864">
              <w:rPr>
                <w:rFonts w:ascii="Open Sans" w:hAnsi="Open Sans" w:cs="Open Sans"/>
              </w:rPr>
              <w:t xml:space="preserve">Follow-up </w:t>
            </w:r>
            <w:r w:rsidR="007F5E1D">
              <w:rPr>
                <w:rFonts w:ascii="Open Sans" w:hAnsi="Open Sans" w:cs="Open Sans"/>
              </w:rPr>
              <w:t>two</w:t>
            </w:r>
            <w:r w:rsidRPr="222D7864">
              <w:rPr>
                <w:rFonts w:ascii="Open Sans" w:hAnsi="Open Sans" w:cs="Open Sans"/>
              </w:rPr>
              <w:t xml:space="preserve"> weeks after treatment and </w:t>
            </w:r>
            <w:r w:rsidR="007F5E1D">
              <w:rPr>
                <w:rFonts w:ascii="Open Sans" w:hAnsi="Open Sans" w:cs="Open Sans"/>
              </w:rPr>
              <w:t>two</w:t>
            </w:r>
            <w:r w:rsidRPr="222D7864">
              <w:rPr>
                <w:rFonts w:ascii="Open Sans" w:hAnsi="Open Sans" w:cs="Open Sans"/>
              </w:rPr>
              <w:t xml:space="preserve"> weeks of non-treatment period.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44F8E" w14:textId="796B34E7" w:rsidR="7FB1C5E2" w:rsidRDefault="7FB1C5E2" w:rsidP="222D7864">
            <w:pPr>
              <w:spacing w:line="240" w:lineRule="auto"/>
              <w:rPr>
                <w:rFonts w:ascii="Open Sans" w:hAnsi="Open Sans" w:cs="Open Sans"/>
              </w:rPr>
            </w:pPr>
            <w:r w:rsidRPr="222D7864">
              <w:rPr>
                <w:rFonts w:ascii="Open Sans" w:hAnsi="Open Sans" w:cs="Open Sans"/>
              </w:rPr>
              <w:t xml:space="preserve">10 daily sessions of skill training therapy, focusing on increasing precision of muscle contraction using visual feedback.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85B6E" w14:textId="77628D0C" w:rsidR="385A49B4" w:rsidRDefault="385A49B4" w:rsidP="222D7864">
            <w:pPr>
              <w:spacing w:line="240" w:lineRule="auto"/>
              <w:rPr>
                <w:rFonts w:ascii="Open Sans" w:hAnsi="Open Sans" w:cs="Open Sans"/>
              </w:rPr>
            </w:pPr>
            <w:r w:rsidRPr="222D7864">
              <w:rPr>
                <w:rFonts w:ascii="Open Sans" w:hAnsi="Open Sans" w:cs="Open Sans"/>
              </w:rPr>
              <w:t xml:space="preserve">Surface EMG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F414A" w14:textId="627F53B6" w:rsidR="14648F0C" w:rsidRDefault="14648F0C" w:rsidP="222D7864">
            <w:pPr>
              <w:spacing w:line="240" w:lineRule="auto"/>
              <w:rPr>
                <w:rFonts w:ascii="Open Sans" w:hAnsi="Open Sans" w:cs="Open Sans"/>
              </w:rPr>
            </w:pPr>
            <w:r w:rsidRPr="222D7864">
              <w:rPr>
                <w:rFonts w:ascii="Open Sans" w:hAnsi="Open Sans" w:cs="Open Sans"/>
              </w:rPr>
              <w:t>Skill-based approach produced functional, biomechanical and swallowing-related quality-of-life improvements</w:t>
            </w:r>
            <w:r w:rsidR="007F5E1D">
              <w:rPr>
                <w:rFonts w:ascii="Open Sans" w:hAnsi="Open Sans" w:cs="Open San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4B386" w14:textId="4E1D7AC9" w:rsidR="222D7864" w:rsidRPr="00F02032" w:rsidRDefault="00F02032" w:rsidP="222D7864">
            <w:pPr>
              <w:spacing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Two weeks post treatment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B70F4" w14:textId="1170B2E7" w:rsidR="222D7864" w:rsidRPr="00F02032" w:rsidRDefault="00F02032" w:rsidP="222D7864">
            <w:pPr>
              <w:spacing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Very applicable in clinics and skill-based instead of strength-based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8C5A0" w14:textId="7F039616" w:rsidR="222D7864" w:rsidRPr="00F02032" w:rsidRDefault="00F02032" w:rsidP="222D7864">
            <w:pPr>
              <w:spacing w:line="240" w:lineRule="auto"/>
              <w:rPr>
                <w:rFonts w:ascii="Open Sans" w:hAnsi="Open Sans" w:cs="Open Sans"/>
              </w:rPr>
            </w:pPr>
            <w:r w:rsidRPr="00F02032">
              <w:rPr>
                <w:rFonts w:ascii="Open Sans" w:hAnsi="Open Sans" w:cs="Open Sans"/>
              </w:rPr>
              <w:t>16/22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6F7CF" w14:textId="24AB34A2" w:rsidR="61FF2E85" w:rsidRDefault="61FF2E85" w:rsidP="222D7864">
            <w:pPr>
              <w:rPr>
                <w:rFonts w:ascii="Open Sans" w:hAnsi="Open Sans" w:cs="Open Sans"/>
              </w:rPr>
            </w:pPr>
            <w:r w:rsidRPr="222D7864">
              <w:rPr>
                <w:rFonts w:ascii="Open Sans" w:hAnsi="Open Sans" w:cs="Open Sans"/>
              </w:rPr>
              <w:t>Small number of patients</w:t>
            </w:r>
            <w:r w:rsidR="007F5E1D">
              <w:rPr>
                <w:rFonts w:ascii="Open Sans" w:hAnsi="Open Sans" w:cs="Open Sans"/>
              </w:rPr>
              <w:t>.</w:t>
            </w:r>
          </w:p>
        </w:tc>
      </w:tr>
    </w:tbl>
    <w:p w14:paraId="7F075541" w14:textId="77777777" w:rsidR="0096622D" w:rsidRPr="00770520" w:rsidRDefault="0096622D">
      <w:pPr>
        <w:rPr>
          <w:rFonts w:ascii="Open Sans" w:hAnsi="Open Sans" w:cs="Open Sans"/>
        </w:rPr>
      </w:pPr>
    </w:p>
    <w:p w14:paraId="268108CB" w14:textId="595346C6" w:rsidR="00586C0D" w:rsidRPr="00770520" w:rsidRDefault="005C30FF" w:rsidP="005C30FF">
      <w:pPr>
        <w:spacing w:after="0" w:line="240" w:lineRule="auto"/>
        <w:rPr>
          <w:rFonts w:ascii="Open Sans" w:hAnsi="Open Sans" w:cs="Open Sans"/>
          <w:b/>
          <w:bCs/>
        </w:rPr>
      </w:pPr>
      <w:r w:rsidRPr="00770520">
        <w:rPr>
          <w:rFonts w:ascii="Open Sans" w:hAnsi="Open Sans" w:cs="Open Sans"/>
          <w:b/>
          <w:bCs/>
        </w:rPr>
        <w:t>Abbreviations</w:t>
      </w:r>
    </w:p>
    <w:p w14:paraId="0963B958" w14:textId="28D4CD23" w:rsidR="00802630" w:rsidRDefault="00F615B9" w:rsidP="00372FB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VAST</w:t>
      </w:r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>Video assisted swallowing therapy</w:t>
      </w:r>
    </w:p>
    <w:p w14:paraId="69FDE04B" w14:textId="6C020640" w:rsidR="00F615B9" w:rsidRDefault="00B7340F" w:rsidP="00372FB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 &amp; Y</w:t>
      </w:r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>Hohn and Yahr</w:t>
      </w:r>
    </w:p>
    <w:p w14:paraId="1608E758" w14:textId="6B2C0B06" w:rsidR="00B7340F" w:rsidRDefault="00360D26" w:rsidP="00372FB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SES</w:t>
      </w:r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 w:rsidR="00D7604F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urface electrical </w:t>
      </w:r>
      <w:r w:rsidR="00D7604F">
        <w:rPr>
          <w:rFonts w:ascii="Open Sans" w:hAnsi="Open Sans" w:cs="Open Sans"/>
        </w:rPr>
        <w:t>stimulation</w:t>
      </w:r>
    </w:p>
    <w:p w14:paraId="6E8B122A" w14:textId="3CA3D544" w:rsidR="00D7604F" w:rsidRDefault="00D7604F" w:rsidP="00372FB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EMST</w:t>
      </w:r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>Expiratory muscle strength training</w:t>
      </w:r>
    </w:p>
    <w:p w14:paraId="6067058D" w14:textId="5FF31DC7" w:rsidR="00D7604F" w:rsidRDefault="00D7604F" w:rsidP="00372FB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PEFR</w:t>
      </w:r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 w:rsidR="00EB0B0B">
        <w:rPr>
          <w:rFonts w:ascii="Open Sans" w:hAnsi="Open Sans" w:cs="Open Sans"/>
        </w:rPr>
        <w:t>Peak expiratory flow rate</w:t>
      </w:r>
    </w:p>
    <w:p w14:paraId="7545DE65" w14:textId="497613BF" w:rsidR="00D7604F" w:rsidRDefault="00D7604F" w:rsidP="00372FB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MEP</w:t>
      </w:r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 w:rsidR="00521EE2">
        <w:rPr>
          <w:rFonts w:ascii="Open Sans" w:hAnsi="Open Sans" w:cs="Open Sans"/>
        </w:rPr>
        <w:t>Maximum expiratory pressure</w:t>
      </w:r>
    </w:p>
    <w:p w14:paraId="1A5DDDD7" w14:textId="14976A9D" w:rsidR="00D7604F" w:rsidRDefault="00D7604F" w:rsidP="00372FBD">
      <w:p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smTAP</w:t>
      </w:r>
      <w:proofErr w:type="spellEnd"/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 w:rsidR="00521EE2">
        <w:rPr>
          <w:rFonts w:ascii="Open Sans" w:hAnsi="Open Sans" w:cs="Open Sans"/>
        </w:rPr>
        <w:t>Sens</w:t>
      </w:r>
      <w:r w:rsidR="0071375E">
        <w:rPr>
          <w:rFonts w:ascii="Open Sans" w:hAnsi="Open Sans" w:cs="Open Sans"/>
        </w:rPr>
        <w:t>orimotor training for airway protection</w:t>
      </w:r>
    </w:p>
    <w:p w14:paraId="2146B99D" w14:textId="640E6944" w:rsidR="00565609" w:rsidRDefault="00D7604F" w:rsidP="00372FBD">
      <w:p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PwP</w:t>
      </w:r>
      <w:proofErr w:type="spellEnd"/>
      <w:r w:rsidR="007F5E1D">
        <w:rPr>
          <w:rFonts w:ascii="Open Sans" w:hAnsi="Open Sans" w:cs="Open Sans"/>
        </w:rPr>
        <w:tab/>
      </w:r>
      <w:r w:rsidR="007F5E1D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>People with Parkinson’s</w:t>
      </w:r>
    </w:p>
    <w:p w14:paraId="13E14BE1" w14:textId="77777777" w:rsidR="001544EE" w:rsidRDefault="001544EE" w:rsidP="00372FBD">
      <w:pPr>
        <w:spacing w:after="0" w:line="240" w:lineRule="auto"/>
        <w:rPr>
          <w:rFonts w:ascii="Open Sans" w:hAnsi="Open Sans" w:cs="Open Sans"/>
        </w:rPr>
      </w:pPr>
    </w:p>
    <w:p w14:paraId="44BD8A27" w14:textId="6134A2BC" w:rsidR="001544EE" w:rsidRDefault="001544EE" w:rsidP="00372FBD">
      <w:pPr>
        <w:spacing w:after="0" w:line="240" w:lineRule="auto"/>
        <w:rPr>
          <w:rFonts w:ascii="Open Sans" w:hAnsi="Open Sans" w:cs="Open Sans"/>
        </w:rPr>
      </w:pPr>
      <w:r w:rsidRPr="001544EE">
        <w:rPr>
          <w:rFonts w:ascii="Open Sans" w:hAnsi="Open Sans" w:cs="Open Sans"/>
        </w:rPr>
        <w:t xml:space="preserve">Quality assessments of the included studies were performed with the adjusted PD-specific assessment form designed by Den Brok et al. (Mov </w:t>
      </w:r>
      <w:proofErr w:type="spellStart"/>
      <w:r w:rsidRPr="001544EE">
        <w:rPr>
          <w:rFonts w:ascii="Open Sans" w:hAnsi="Open Sans" w:cs="Open Sans"/>
        </w:rPr>
        <w:t>Disord</w:t>
      </w:r>
      <w:proofErr w:type="spellEnd"/>
      <w:r w:rsidRPr="001544EE">
        <w:rPr>
          <w:rFonts w:ascii="Open Sans" w:hAnsi="Open Sans" w:cs="Open Sans"/>
        </w:rPr>
        <w:t xml:space="preserve"> 2015), which was based on the Newcastle–Ottawa quality assessment scale (Wells et al. The Newcastle-Ottawa Scale (NOS) </w:t>
      </w:r>
      <w:r w:rsidRPr="001544EE">
        <w:rPr>
          <w:rFonts w:ascii="Open Sans" w:hAnsi="Open Sans" w:cs="Open Sans"/>
        </w:rPr>
        <w:lastRenderedPageBreak/>
        <w:t xml:space="preserve">for assessing the quality of nonrandomised studies in </w:t>
      </w:r>
      <w:proofErr w:type="spellStart"/>
      <w:proofErr w:type="gramStart"/>
      <w:r w:rsidRPr="001544EE">
        <w:rPr>
          <w:rFonts w:ascii="Open Sans" w:hAnsi="Open Sans" w:cs="Open Sans"/>
        </w:rPr>
        <w:t>meta</w:t>
      </w:r>
      <w:r w:rsidR="005D147E">
        <w:rPr>
          <w:rFonts w:ascii="Open Sans" w:hAnsi="Open Sans" w:cs="Open Sans"/>
        </w:rPr>
        <w:t xml:space="preserve"> </w:t>
      </w:r>
      <w:r w:rsidRPr="001544EE">
        <w:rPr>
          <w:rFonts w:ascii="Open Sans" w:hAnsi="Open Sans" w:cs="Open Sans"/>
        </w:rPr>
        <w:t>analysis</w:t>
      </w:r>
      <w:proofErr w:type="spellEnd"/>
      <w:proofErr w:type="gramEnd"/>
      <w:r w:rsidRPr="001544EE">
        <w:rPr>
          <w:rFonts w:ascii="Open Sans" w:hAnsi="Open Sans" w:cs="Open Sans"/>
        </w:rPr>
        <w:t xml:space="preserve">. [cited 2022 February 20]. Available from </w:t>
      </w:r>
      <w:hyperlink r:id="rId11" w:tgtFrame="_blank" w:history="1">
        <w:r w:rsidRPr="001544EE">
          <w:rPr>
            <w:rStyle w:val="Hyperlink"/>
            <w:rFonts w:ascii="Open Sans" w:hAnsi="Open Sans" w:cs="Open Sans"/>
            <w:b/>
            <w:bCs/>
          </w:rPr>
          <w:t>ohri.ca/programs/</w:t>
        </w:r>
        <w:proofErr w:type="spellStart"/>
        <w:r w:rsidRPr="001544EE">
          <w:rPr>
            <w:rStyle w:val="Hyperlink"/>
            <w:rFonts w:ascii="Open Sans" w:hAnsi="Open Sans" w:cs="Open Sans"/>
            <w:b/>
            <w:bCs/>
          </w:rPr>
          <w:t>clinical_epidemiology</w:t>
        </w:r>
        <w:proofErr w:type="spellEnd"/>
      </w:hyperlink>
      <w:r w:rsidRPr="001544EE">
        <w:rPr>
          <w:rFonts w:ascii="Open Sans" w:hAnsi="Open Sans" w:cs="Open Sans"/>
        </w:rPr>
        <w:t>). The scores range from 0 to 22, and higher scores indicate better study quality. </w:t>
      </w:r>
    </w:p>
    <w:sectPr w:rsidR="001544EE" w:rsidSect="00F51C4C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1BF5" w14:textId="77777777" w:rsidR="007E2ED2" w:rsidRDefault="007E2ED2" w:rsidP="00961B88">
      <w:pPr>
        <w:spacing w:after="0" w:line="240" w:lineRule="auto"/>
      </w:pPr>
      <w:r>
        <w:separator/>
      </w:r>
    </w:p>
  </w:endnote>
  <w:endnote w:type="continuationSeparator" w:id="0">
    <w:p w14:paraId="6F324012" w14:textId="77777777" w:rsidR="007E2ED2" w:rsidRDefault="007E2ED2" w:rsidP="00961B88">
      <w:pPr>
        <w:spacing w:after="0" w:line="240" w:lineRule="auto"/>
      </w:pPr>
      <w:r>
        <w:continuationSeparator/>
      </w:r>
    </w:p>
  </w:endnote>
  <w:endnote w:type="continuationNotice" w:id="1">
    <w:p w14:paraId="6A70869D" w14:textId="77777777" w:rsidR="007E2ED2" w:rsidRDefault="007E2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43B4A2A" w14:paraId="679EBBD6" w14:textId="77777777" w:rsidTr="343B4A2A">
      <w:trPr>
        <w:trHeight w:val="300"/>
      </w:trPr>
      <w:tc>
        <w:tcPr>
          <w:tcW w:w="4650" w:type="dxa"/>
        </w:tcPr>
        <w:p w14:paraId="296375F7" w14:textId="000F4E9E" w:rsidR="343B4A2A" w:rsidRDefault="343B4A2A" w:rsidP="343B4A2A">
          <w:pPr>
            <w:pStyle w:val="Header"/>
            <w:ind w:left="-115"/>
          </w:pPr>
        </w:p>
      </w:tc>
      <w:tc>
        <w:tcPr>
          <w:tcW w:w="4650" w:type="dxa"/>
        </w:tcPr>
        <w:p w14:paraId="746C8794" w14:textId="3440FFFC" w:rsidR="343B4A2A" w:rsidRDefault="343B4A2A" w:rsidP="343B4A2A">
          <w:pPr>
            <w:pStyle w:val="Header"/>
            <w:jc w:val="center"/>
          </w:pPr>
        </w:p>
      </w:tc>
      <w:tc>
        <w:tcPr>
          <w:tcW w:w="4650" w:type="dxa"/>
        </w:tcPr>
        <w:p w14:paraId="4FE54E51" w14:textId="5BB2C68E" w:rsidR="343B4A2A" w:rsidRDefault="343B4A2A" w:rsidP="343B4A2A">
          <w:pPr>
            <w:pStyle w:val="Header"/>
            <w:ind w:right="-115"/>
            <w:jc w:val="right"/>
          </w:pPr>
        </w:p>
      </w:tc>
    </w:tr>
  </w:tbl>
  <w:p w14:paraId="6EF72E64" w14:textId="267CBFA0" w:rsidR="343B4A2A" w:rsidRDefault="343B4A2A" w:rsidP="343B4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EA11" w14:textId="77777777" w:rsidR="007E2ED2" w:rsidRDefault="007E2ED2" w:rsidP="00961B88">
      <w:pPr>
        <w:spacing w:after="0" w:line="240" w:lineRule="auto"/>
      </w:pPr>
      <w:r>
        <w:separator/>
      </w:r>
    </w:p>
  </w:footnote>
  <w:footnote w:type="continuationSeparator" w:id="0">
    <w:p w14:paraId="395BB6F4" w14:textId="77777777" w:rsidR="007E2ED2" w:rsidRDefault="007E2ED2" w:rsidP="00961B88">
      <w:pPr>
        <w:spacing w:after="0" w:line="240" w:lineRule="auto"/>
      </w:pPr>
      <w:r>
        <w:continuationSeparator/>
      </w:r>
    </w:p>
  </w:footnote>
  <w:footnote w:type="continuationNotice" w:id="1">
    <w:p w14:paraId="592ED3DD" w14:textId="77777777" w:rsidR="007E2ED2" w:rsidRDefault="007E2E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0EEF" w14:textId="3BAFC566" w:rsidR="00961B88" w:rsidRPr="007F739F" w:rsidRDefault="343B4A2A" w:rsidP="005D147E">
    <w:pPr>
      <w:pStyle w:val="Header"/>
      <w:tabs>
        <w:tab w:val="clear" w:pos="9026"/>
        <w:tab w:val="left" w:pos="11940"/>
      </w:tabs>
      <w:rPr>
        <w:rFonts w:ascii="Open Sans" w:hAnsi="Open Sans" w:cs="Open Sans"/>
        <w:b/>
        <w:bCs/>
        <w:sz w:val="24"/>
        <w:szCs w:val="24"/>
      </w:rPr>
    </w:pPr>
    <w:r w:rsidRPr="007F739F">
      <w:rPr>
        <w:rFonts w:ascii="Open Sans" w:hAnsi="Open Sans" w:cs="Open Sans"/>
        <w:b/>
        <w:bCs/>
        <w:sz w:val="24"/>
        <w:szCs w:val="24"/>
      </w:rPr>
      <w:t>Summary of intervention for eating, drinking and swallowing difficulties using randomised controlled trials for people with Parkinson’s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C"/>
    <w:rsid w:val="0000576F"/>
    <w:rsid w:val="000871F9"/>
    <w:rsid w:val="000D471B"/>
    <w:rsid w:val="000E0B2B"/>
    <w:rsid w:val="001131C6"/>
    <w:rsid w:val="001228BB"/>
    <w:rsid w:val="00152C3D"/>
    <w:rsid w:val="001544EE"/>
    <w:rsid w:val="001632C9"/>
    <w:rsid w:val="00171F20"/>
    <w:rsid w:val="001951A2"/>
    <w:rsid w:val="001A0FF4"/>
    <w:rsid w:val="001A760D"/>
    <w:rsid w:val="001E474A"/>
    <w:rsid w:val="00214C06"/>
    <w:rsid w:val="00267EF0"/>
    <w:rsid w:val="00290687"/>
    <w:rsid w:val="002D476F"/>
    <w:rsid w:val="002E597D"/>
    <w:rsid w:val="002F7506"/>
    <w:rsid w:val="002F78A8"/>
    <w:rsid w:val="00314047"/>
    <w:rsid w:val="00324957"/>
    <w:rsid w:val="00327DD3"/>
    <w:rsid w:val="00360D26"/>
    <w:rsid w:val="00365E02"/>
    <w:rsid w:val="00372FBD"/>
    <w:rsid w:val="00444FC1"/>
    <w:rsid w:val="00490869"/>
    <w:rsid w:val="004F3359"/>
    <w:rsid w:val="004F7103"/>
    <w:rsid w:val="00521EE2"/>
    <w:rsid w:val="00525F1A"/>
    <w:rsid w:val="00547E67"/>
    <w:rsid w:val="00554665"/>
    <w:rsid w:val="00565609"/>
    <w:rsid w:val="00586C0D"/>
    <w:rsid w:val="005A3139"/>
    <w:rsid w:val="005B091A"/>
    <w:rsid w:val="005C30FF"/>
    <w:rsid w:val="005C7EF6"/>
    <w:rsid w:val="005D147E"/>
    <w:rsid w:val="005D2941"/>
    <w:rsid w:val="00612E7E"/>
    <w:rsid w:val="0064013E"/>
    <w:rsid w:val="006552EF"/>
    <w:rsid w:val="00672FCA"/>
    <w:rsid w:val="0068128B"/>
    <w:rsid w:val="006C034A"/>
    <w:rsid w:val="007124B0"/>
    <w:rsid w:val="0071375E"/>
    <w:rsid w:val="007247DE"/>
    <w:rsid w:val="00733005"/>
    <w:rsid w:val="00734AA5"/>
    <w:rsid w:val="007575A3"/>
    <w:rsid w:val="00770520"/>
    <w:rsid w:val="007708CA"/>
    <w:rsid w:val="007B4506"/>
    <w:rsid w:val="007E16A8"/>
    <w:rsid w:val="007E2ED2"/>
    <w:rsid w:val="007E7B0D"/>
    <w:rsid w:val="007F5B95"/>
    <w:rsid w:val="007F5E1D"/>
    <w:rsid w:val="007F739F"/>
    <w:rsid w:val="00802630"/>
    <w:rsid w:val="00804590"/>
    <w:rsid w:val="008109ED"/>
    <w:rsid w:val="0082586F"/>
    <w:rsid w:val="00880E46"/>
    <w:rsid w:val="00883058"/>
    <w:rsid w:val="008B068D"/>
    <w:rsid w:val="008C6B24"/>
    <w:rsid w:val="008D0902"/>
    <w:rsid w:val="008E3D5E"/>
    <w:rsid w:val="008F2E4B"/>
    <w:rsid w:val="00961B88"/>
    <w:rsid w:val="0096622D"/>
    <w:rsid w:val="0099768D"/>
    <w:rsid w:val="009C35F0"/>
    <w:rsid w:val="009D0CE2"/>
    <w:rsid w:val="009D2F68"/>
    <w:rsid w:val="009F58A0"/>
    <w:rsid w:val="00A37E5E"/>
    <w:rsid w:val="00A43C2B"/>
    <w:rsid w:val="00A47136"/>
    <w:rsid w:val="00A612C0"/>
    <w:rsid w:val="00A76964"/>
    <w:rsid w:val="00A90432"/>
    <w:rsid w:val="00AA162D"/>
    <w:rsid w:val="00AB0B1B"/>
    <w:rsid w:val="00AC774A"/>
    <w:rsid w:val="00AE363A"/>
    <w:rsid w:val="00AE3975"/>
    <w:rsid w:val="00B13AA9"/>
    <w:rsid w:val="00B26E7C"/>
    <w:rsid w:val="00B7340F"/>
    <w:rsid w:val="00BB4982"/>
    <w:rsid w:val="00BD3101"/>
    <w:rsid w:val="00BD746B"/>
    <w:rsid w:val="00C1638C"/>
    <w:rsid w:val="00C22A78"/>
    <w:rsid w:val="00C61BD2"/>
    <w:rsid w:val="00C717A4"/>
    <w:rsid w:val="00CA418E"/>
    <w:rsid w:val="00CC0915"/>
    <w:rsid w:val="00CD642B"/>
    <w:rsid w:val="00D35C3E"/>
    <w:rsid w:val="00D4174F"/>
    <w:rsid w:val="00D54379"/>
    <w:rsid w:val="00D6674E"/>
    <w:rsid w:val="00D7604F"/>
    <w:rsid w:val="00DA175D"/>
    <w:rsid w:val="00DF05EA"/>
    <w:rsid w:val="00E66A4E"/>
    <w:rsid w:val="00E93EC0"/>
    <w:rsid w:val="00E95A12"/>
    <w:rsid w:val="00EB0B0B"/>
    <w:rsid w:val="00ED0B4F"/>
    <w:rsid w:val="00EE5E67"/>
    <w:rsid w:val="00F02032"/>
    <w:rsid w:val="00F33019"/>
    <w:rsid w:val="00F45AC9"/>
    <w:rsid w:val="00F51C4C"/>
    <w:rsid w:val="00F615B9"/>
    <w:rsid w:val="051C61C7"/>
    <w:rsid w:val="06154C6F"/>
    <w:rsid w:val="07E3158F"/>
    <w:rsid w:val="08D50399"/>
    <w:rsid w:val="08FABAEF"/>
    <w:rsid w:val="0E50B025"/>
    <w:rsid w:val="1275389C"/>
    <w:rsid w:val="1462B10B"/>
    <w:rsid w:val="14648F0C"/>
    <w:rsid w:val="1EAC7FE4"/>
    <w:rsid w:val="1FB45FCE"/>
    <w:rsid w:val="21BF2B0D"/>
    <w:rsid w:val="222D7864"/>
    <w:rsid w:val="23DB56E4"/>
    <w:rsid w:val="28DC320C"/>
    <w:rsid w:val="2DA14C8B"/>
    <w:rsid w:val="3058EB89"/>
    <w:rsid w:val="343B4A2A"/>
    <w:rsid w:val="38105647"/>
    <w:rsid w:val="385A49B4"/>
    <w:rsid w:val="39EF39A3"/>
    <w:rsid w:val="3E3CD463"/>
    <w:rsid w:val="40FB32A5"/>
    <w:rsid w:val="4ADC59B9"/>
    <w:rsid w:val="5066D025"/>
    <w:rsid w:val="6022C120"/>
    <w:rsid w:val="60652D7C"/>
    <w:rsid w:val="61FF2E85"/>
    <w:rsid w:val="73493864"/>
    <w:rsid w:val="7851442F"/>
    <w:rsid w:val="7FB1C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28C76"/>
  <w15:chartTrackingRefBased/>
  <w15:docId w15:val="{6DE2DF58-FBFD-4177-961E-F68BDD51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88"/>
  </w:style>
  <w:style w:type="paragraph" w:styleId="Footer">
    <w:name w:val="footer"/>
    <w:basedOn w:val="Normal"/>
    <w:link w:val="FooterChar"/>
    <w:uiPriority w:val="99"/>
    <w:unhideWhenUsed/>
    <w:rsid w:val="0096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B88"/>
  </w:style>
  <w:style w:type="character" w:styleId="Hyperlink">
    <w:name w:val="Hyperlink"/>
    <w:basedOn w:val="DefaultParagraphFont"/>
    <w:uiPriority w:val="99"/>
    <w:unhideWhenUsed/>
    <w:rsid w:val="000E0B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1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6E7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55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hri.ca/programs/clinical_epidemiolog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2481625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7" ma:contentTypeDescription="Create a new document." ma:contentTypeScope="" ma:versionID="3ef731a9924e8cf33476af7931f0c1c6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cb9c29dbb5a13dd08f5da87edba88592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BD364-0132-4F1C-83C7-119EE20A9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7865-7f80-4b4d-9f7e-5617889a551d"/>
    <ds:schemaRef ds:uri="2742bbb5-d832-4556-9006-8a246a5838e7"/>
    <ds:schemaRef ds:uri="e1e76a81-16a8-40f3-82d7-6fd0426f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55FBD-E3E4-4395-9264-73B47C3D71FF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752d7865-7f80-4b4d-9f7e-5617889a551d"/>
  </ds:schemaRefs>
</ds:datastoreItem>
</file>

<file path=customXml/itemProps3.xml><?xml version="1.0" encoding="utf-8"?>
<ds:datastoreItem xmlns:ds="http://schemas.openxmlformats.org/officeDocument/2006/customXml" ds:itemID="{7A2BB0AF-3300-45A2-A9BB-4D9BC7E6E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Links>
    <vt:vector size="30" baseType="variant">
      <vt:variant>
        <vt:i4>851982</vt:i4>
      </vt:variant>
      <vt:variant>
        <vt:i4>12</vt:i4>
      </vt:variant>
      <vt:variant>
        <vt:i4>0</vt:i4>
      </vt:variant>
      <vt:variant>
        <vt:i4>5</vt:i4>
      </vt:variant>
      <vt:variant>
        <vt:lpwstr>https://pubmed.ncbi.nlm.nih.gov/24816250/</vt:lpwstr>
      </vt:variant>
      <vt:variant>
        <vt:lpwstr/>
      </vt:variant>
      <vt:variant>
        <vt:i4>13</vt:i4>
      </vt:variant>
      <vt:variant>
        <vt:i4>9</vt:i4>
      </vt:variant>
      <vt:variant>
        <vt:i4>0</vt:i4>
      </vt:variant>
      <vt:variant>
        <vt:i4>5</vt:i4>
      </vt:variant>
      <vt:variant>
        <vt:lpwstr>https://pubmed.ncbi.nlm.nih.gov/21098406/</vt:lpwstr>
      </vt:variant>
      <vt:variant>
        <vt:lpwstr/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>https://movementdisorders.onlinelibrary.wiley.com/doi/10.1002/mds.29268</vt:lpwstr>
      </vt:variant>
      <vt:variant>
        <vt:lpwstr/>
      </vt:variant>
      <vt:variant>
        <vt:i4>2752626</vt:i4>
      </vt:variant>
      <vt:variant>
        <vt:i4>3</vt:i4>
      </vt:variant>
      <vt:variant>
        <vt:i4>0</vt:i4>
      </vt:variant>
      <vt:variant>
        <vt:i4>5</vt:i4>
      </vt:variant>
      <vt:variant>
        <vt:lpwstr>https://onlinelibrary.wiley.com/doi/10.1002/lary.24119</vt:lpwstr>
      </vt:variant>
      <vt:variant>
        <vt:lpwstr/>
      </vt:variant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https://www.prd-journal.com/article/S1353-8020(12)00380-X/abstract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Graham</dc:creator>
  <cp:keywords/>
  <dc:description/>
  <cp:lastModifiedBy>Hannah Lewis</cp:lastModifiedBy>
  <cp:revision>4</cp:revision>
  <dcterms:created xsi:type="dcterms:W3CDTF">2025-12-02T16:36:00Z</dcterms:created>
  <dcterms:modified xsi:type="dcterms:W3CDTF">2025-12-02T16:54:00Z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MediaServiceImageTags">
    <vt:lpwstr/>
  </property>
  <property fmtid="{D5CDD505-2E9C-101B-9397-08002B2CF9AE}" pid="4" name="yes">
    <vt:lpwstr/>
  </property>
  <property fmtid="{D5CDD505-2E9C-101B-9397-08002B2CF9AE}" pid="5" name="DATE">
    <vt:lpwstr/>
  </property>
</Properties>
</file>