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06503" w14:textId="77777777" w:rsidR="00083338" w:rsidRDefault="00083338" w:rsidP="00083338">
      <w:pPr>
        <w:rPr>
          <w:rFonts w:ascii="Open Sans" w:hAnsi="Open Sans" w:cs="Open Sans"/>
          <w:b/>
          <w:bCs/>
          <w:sz w:val="28"/>
          <w:szCs w:val="28"/>
        </w:rPr>
      </w:pPr>
    </w:p>
    <w:p w14:paraId="745F6494" w14:textId="603C754E" w:rsidR="00083338" w:rsidRDefault="00083338" w:rsidP="00083338">
      <w:pPr>
        <w:jc w:val="center"/>
        <w:rPr>
          <w:rFonts w:ascii="Open Sans" w:hAnsi="Open Sans" w:cs="Open Sans"/>
          <w:b/>
          <w:bCs/>
        </w:rPr>
      </w:pPr>
      <w:r w:rsidRPr="00743858">
        <w:rPr>
          <w:rFonts w:ascii="Open Sans" w:hAnsi="Open Sans" w:cs="Open Sans"/>
          <w:b/>
          <w:bCs/>
          <w:sz w:val="28"/>
          <w:szCs w:val="28"/>
        </w:rPr>
        <w:t>ROLE SPECIFICATION FOR</w:t>
      </w:r>
      <w:r>
        <w:rPr>
          <w:rFonts w:ascii="Open Sans" w:hAnsi="Open Sans" w:cs="Open Sans"/>
          <w:b/>
          <w:bCs/>
          <w:sz w:val="28"/>
          <w:szCs w:val="28"/>
        </w:rPr>
        <w:t xml:space="preserve"> LAY TRUSTEE (COMMERCIAL LEAD)</w:t>
      </w:r>
    </w:p>
    <w:p w14:paraId="0C5E48FF" w14:textId="77777777" w:rsidR="00083338" w:rsidRDefault="00083338" w:rsidP="00083338">
      <w:pPr>
        <w:rPr>
          <w:rFonts w:ascii="Open Sans" w:hAnsi="Open Sans" w:cs="Open Sans"/>
          <w:b/>
          <w:bCs/>
        </w:rPr>
      </w:pPr>
    </w:p>
    <w:p w14:paraId="4446EE6B" w14:textId="37DB552D" w:rsidR="00083338" w:rsidRPr="00083338" w:rsidRDefault="00083338" w:rsidP="00083338">
      <w:pPr>
        <w:rPr>
          <w:rFonts w:ascii="Open Sans" w:hAnsi="Open Sans" w:cs="Open Sans"/>
          <w:b/>
          <w:bCs/>
          <w:sz w:val="22"/>
          <w:szCs w:val="22"/>
        </w:rPr>
      </w:pPr>
      <w:r w:rsidRPr="00083338">
        <w:rPr>
          <w:rFonts w:ascii="Open Sans" w:hAnsi="Open Sans" w:cs="Open Sans"/>
          <w:b/>
          <w:bCs/>
          <w:sz w:val="22"/>
          <w:szCs w:val="22"/>
        </w:rPr>
        <w:t>Purpose of the Role</w:t>
      </w:r>
    </w:p>
    <w:p w14:paraId="0C254EFB" w14:textId="14642D8D" w:rsidR="00083338" w:rsidRPr="00083338" w:rsidRDefault="00DF226B" w:rsidP="00083338">
      <w:pPr>
        <w:rPr>
          <w:rFonts w:ascii="Open Sans" w:hAnsi="Open Sans" w:cs="Open Sans"/>
          <w:b/>
          <w:bCs/>
          <w:sz w:val="22"/>
          <w:szCs w:val="22"/>
        </w:rPr>
      </w:pPr>
      <w:r w:rsidRPr="00DF226B">
        <w:rPr>
          <w:rFonts w:ascii="Open Sans" w:hAnsi="Open Sans" w:cs="Open Sans"/>
          <w:sz w:val="22"/>
          <w:szCs w:val="22"/>
        </w:rPr>
        <w:t>The Commercial Lead will play a key role in helping the organisation to think more strategically and confidently about commercial income generation. This includes identifying and shaping opportunities for sponsorship, corporate partnerships, and other forms of collaboration with businesses that align with the charity’s purpose and values. The postholder will support the Board and Executive to explore how external relationships can be translated into sustainable income streams, enhanced reach, and mutual value, while ensuring that all such activity is ethically grounded and consistent with the organisation’s public benefit obligations.</w:t>
      </w:r>
      <w:r w:rsidR="00922CF1">
        <w:rPr>
          <w:rFonts w:ascii="Open Sans" w:hAnsi="Open Sans" w:cs="Open Sans"/>
          <w:sz w:val="22"/>
          <w:szCs w:val="22"/>
        </w:rPr>
        <w:t xml:space="preserve"> Please note that this role is an advisory one, and as such it is thus a non-voting role.</w:t>
      </w:r>
    </w:p>
    <w:p w14:paraId="07B6FAD4" w14:textId="77777777" w:rsidR="002E2945" w:rsidRDefault="002E2945" w:rsidP="00083338">
      <w:pPr>
        <w:rPr>
          <w:rFonts w:ascii="Open Sans" w:hAnsi="Open Sans" w:cs="Open Sans"/>
          <w:b/>
          <w:bCs/>
          <w:sz w:val="22"/>
          <w:szCs w:val="22"/>
        </w:rPr>
      </w:pPr>
    </w:p>
    <w:p w14:paraId="4E1FA205" w14:textId="124F6D6B" w:rsidR="00083338" w:rsidRPr="00083338" w:rsidRDefault="00083338" w:rsidP="00083338">
      <w:pPr>
        <w:rPr>
          <w:rFonts w:ascii="Open Sans" w:hAnsi="Open Sans" w:cs="Open Sans"/>
          <w:b/>
          <w:bCs/>
          <w:sz w:val="22"/>
          <w:szCs w:val="22"/>
        </w:rPr>
      </w:pPr>
      <w:r w:rsidRPr="00083338">
        <w:rPr>
          <w:rFonts w:ascii="Open Sans" w:hAnsi="Open Sans" w:cs="Open Sans"/>
          <w:b/>
          <w:bCs/>
          <w:sz w:val="22"/>
          <w:szCs w:val="22"/>
        </w:rPr>
        <w:t>Responsibilities as a Trustee</w:t>
      </w:r>
    </w:p>
    <w:p w14:paraId="2E978989" w14:textId="77777777" w:rsidR="00083338" w:rsidRPr="00083338" w:rsidRDefault="00083338" w:rsidP="00083338">
      <w:pPr>
        <w:rPr>
          <w:rFonts w:ascii="Open Sans" w:hAnsi="Open Sans" w:cs="Open Sans"/>
          <w:sz w:val="22"/>
          <w:szCs w:val="22"/>
        </w:rPr>
      </w:pPr>
      <w:r w:rsidRPr="00083338">
        <w:rPr>
          <w:rFonts w:ascii="Open Sans" w:hAnsi="Open Sans" w:cs="Open Sans"/>
          <w:sz w:val="22"/>
          <w:szCs w:val="22"/>
        </w:rPr>
        <w:t>As a Trustee, the postholder shares collective responsibility with the Board to:</w:t>
      </w:r>
    </w:p>
    <w:p w14:paraId="06841FF2" w14:textId="77777777" w:rsidR="00083338" w:rsidRPr="00083338" w:rsidRDefault="00083338" w:rsidP="00083338">
      <w:pPr>
        <w:numPr>
          <w:ilvl w:val="0"/>
          <w:numId w:val="8"/>
        </w:numPr>
        <w:rPr>
          <w:rFonts w:ascii="Open Sans" w:hAnsi="Open Sans" w:cs="Open Sans"/>
          <w:sz w:val="22"/>
          <w:szCs w:val="22"/>
        </w:rPr>
      </w:pPr>
      <w:r w:rsidRPr="00083338">
        <w:rPr>
          <w:rFonts w:ascii="Open Sans" w:hAnsi="Open Sans" w:cs="Open Sans"/>
          <w:sz w:val="22"/>
          <w:szCs w:val="22"/>
        </w:rPr>
        <w:t>Provide strategic direction for the organisation</w:t>
      </w:r>
    </w:p>
    <w:p w14:paraId="15CA2BDB" w14:textId="77777777" w:rsidR="00083338" w:rsidRPr="00083338" w:rsidRDefault="00083338" w:rsidP="00083338">
      <w:pPr>
        <w:numPr>
          <w:ilvl w:val="0"/>
          <w:numId w:val="8"/>
        </w:numPr>
        <w:rPr>
          <w:rFonts w:ascii="Open Sans" w:hAnsi="Open Sans" w:cs="Open Sans"/>
          <w:sz w:val="22"/>
          <w:szCs w:val="22"/>
        </w:rPr>
      </w:pPr>
      <w:r w:rsidRPr="00083338">
        <w:rPr>
          <w:rFonts w:ascii="Open Sans" w:hAnsi="Open Sans" w:cs="Open Sans"/>
          <w:sz w:val="22"/>
          <w:szCs w:val="22"/>
        </w:rPr>
        <w:t>Monitor delivery of the Vision and Annual Operating Plan</w:t>
      </w:r>
    </w:p>
    <w:p w14:paraId="08013918" w14:textId="77777777" w:rsidR="00083338" w:rsidRPr="00083338" w:rsidRDefault="00083338" w:rsidP="00083338">
      <w:pPr>
        <w:numPr>
          <w:ilvl w:val="0"/>
          <w:numId w:val="8"/>
        </w:numPr>
        <w:rPr>
          <w:rFonts w:ascii="Open Sans" w:hAnsi="Open Sans" w:cs="Open Sans"/>
          <w:sz w:val="22"/>
          <w:szCs w:val="22"/>
        </w:rPr>
      </w:pPr>
      <w:r w:rsidRPr="00083338">
        <w:rPr>
          <w:rFonts w:ascii="Open Sans" w:hAnsi="Open Sans" w:cs="Open Sans"/>
          <w:sz w:val="22"/>
          <w:szCs w:val="22"/>
        </w:rPr>
        <w:t>Ensure financial sustainability and robustness</w:t>
      </w:r>
    </w:p>
    <w:p w14:paraId="31F7FA9A" w14:textId="77777777" w:rsidR="00083338" w:rsidRPr="00083338" w:rsidRDefault="00083338" w:rsidP="00083338">
      <w:pPr>
        <w:numPr>
          <w:ilvl w:val="0"/>
          <w:numId w:val="8"/>
        </w:numPr>
        <w:rPr>
          <w:rFonts w:ascii="Open Sans" w:hAnsi="Open Sans" w:cs="Open Sans"/>
          <w:sz w:val="22"/>
          <w:szCs w:val="22"/>
        </w:rPr>
      </w:pPr>
      <w:r w:rsidRPr="00083338">
        <w:rPr>
          <w:rFonts w:ascii="Open Sans" w:hAnsi="Open Sans" w:cs="Open Sans"/>
          <w:sz w:val="22"/>
          <w:szCs w:val="22"/>
        </w:rPr>
        <w:t>Assure themselves that financial and qualitative information is accurate</w:t>
      </w:r>
    </w:p>
    <w:p w14:paraId="1155B838" w14:textId="77777777" w:rsidR="00083338" w:rsidRPr="00083338" w:rsidRDefault="00083338" w:rsidP="00083338">
      <w:pPr>
        <w:numPr>
          <w:ilvl w:val="0"/>
          <w:numId w:val="8"/>
        </w:numPr>
        <w:rPr>
          <w:rFonts w:ascii="Open Sans" w:hAnsi="Open Sans" w:cs="Open Sans"/>
          <w:sz w:val="22"/>
          <w:szCs w:val="22"/>
        </w:rPr>
      </w:pPr>
      <w:r w:rsidRPr="00083338">
        <w:rPr>
          <w:rFonts w:ascii="Open Sans" w:hAnsi="Open Sans" w:cs="Open Sans"/>
          <w:sz w:val="22"/>
          <w:szCs w:val="22"/>
        </w:rPr>
        <w:t>Ensure effective systems of risk management and control</w:t>
      </w:r>
    </w:p>
    <w:p w14:paraId="208900C1" w14:textId="77777777" w:rsidR="00083338" w:rsidRPr="00083338" w:rsidRDefault="00083338" w:rsidP="00083338">
      <w:pPr>
        <w:numPr>
          <w:ilvl w:val="0"/>
          <w:numId w:val="8"/>
        </w:numPr>
        <w:rPr>
          <w:rFonts w:ascii="Open Sans" w:hAnsi="Open Sans" w:cs="Open Sans"/>
          <w:sz w:val="22"/>
          <w:szCs w:val="22"/>
        </w:rPr>
      </w:pPr>
      <w:r w:rsidRPr="00083338">
        <w:rPr>
          <w:rFonts w:ascii="Open Sans" w:hAnsi="Open Sans" w:cs="Open Sans"/>
          <w:sz w:val="22"/>
          <w:szCs w:val="22"/>
        </w:rPr>
        <w:t>Ensure compliance with legal and regulatory obligations</w:t>
      </w:r>
    </w:p>
    <w:p w14:paraId="42EEBFBC" w14:textId="77777777" w:rsidR="00083338" w:rsidRPr="00083338" w:rsidRDefault="00083338" w:rsidP="00083338">
      <w:pPr>
        <w:numPr>
          <w:ilvl w:val="0"/>
          <w:numId w:val="8"/>
        </w:numPr>
        <w:rPr>
          <w:rFonts w:ascii="Open Sans" w:hAnsi="Open Sans" w:cs="Open Sans"/>
          <w:sz w:val="22"/>
          <w:szCs w:val="22"/>
        </w:rPr>
      </w:pPr>
      <w:r w:rsidRPr="00083338">
        <w:rPr>
          <w:rFonts w:ascii="Open Sans" w:hAnsi="Open Sans" w:cs="Open Sans"/>
          <w:sz w:val="22"/>
          <w:szCs w:val="22"/>
        </w:rPr>
        <w:t>Contribute to CEO appointment, performance management, and succession planning</w:t>
      </w:r>
    </w:p>
    <w:p w14:paraId="5C3E5E0C" w14:textId="77777777" w:rsidR="00083338" w:rsidRPr="00083338" w:rsidRDefault="00083338" w:rsidP="00083338">
      <w:pPr>
        <w:numPr>
          <w:ilvl w:val="0"/>
          <w:numId w:val="8"/>
        </w:numPr>
        <w:rPr>
          <w:rFonts w:ascii="Open Sans" w:hAnsi="Open Sans" w:cs="Open Sans"/>
          <w:sz w:val="22"/>
          <w:szCs w:val="22"/>
        </w:rPr>
      </w:pPr>
      <w:r w:rsidRPr="00083338">
        <w:rPr>
          <w:rFonts w:ascii="Open Sans" w:hAnsi="Open Sans" w:cs="Open Sans"/>
          <w:sz w:val="22"/>
          <w:szCs w:val="22"/>
        </w:rPr>
        <w:t>Act in the best interests of the charity and its beneficiaries</w:t>
      </w:r>
    </w:p>
    <w:p w14:paraId="5FAAC886" w14:textId="77777777" w:rsidR="00083338" w:rsidRPr="00083338" w:rsidRDefault="00083338" w:rsidP="00083338">
      <w:pPr>
        <w:numPr>
          <w:ilvl w:val="0"/>
          <w:numId w:val="8"/>
        </w:numPr>
        <w:rPr>
          <w:rFonts w:ascii="Open Sans" w:hAnsi="Open Sans" w:cs="Open Sans"/>
          <w:sz w:val="22"/>
          <w:szCs w:val="22"/>
        </w:rPr>
      </w:pPr>
      <w:r w:rsidRPr="00083338">
        <w:rPr>
          <w:rFonts w:ascii="Open Sans" w:hAnsi="Open Sans" w:cs="Open Sans"/>
          <w:sz w:val="22"/>
          <w:szCs w:val="22"/>
        </w:rPr>
        <w:t>Act as an ambassador for the organisation</w:t>
      </w:r>
    </w:p>
    <w:p w14:paraId="3C2D1C0C" w14:textId="77777777" w:rsidR="00083338" w:rsidRPr="00083338" w:rsidRDefault="00083338" w:rsidP="00083338">
      <w:pPr>
        <w:rPr>
          <w:rFonts w:ascii="Open Sans" w:hAnsi="Open Sans" w:cs="Open Sans"/>
          <w:sz w:val="22"/>
          <w:szCs w:val="22"/>
        </w:rPr>
      </w:pPr>
    </w:p>
    <w:p w14:paraId="197713CA" w14:textId="77777777" w:rsidR="00083338" w:rsidRDefault="00083338" w:rsidP="00083338">
      <w:pPr>
        <w:rPr>
          <w:rFonts w:ascii="Open Sans" w:hAnsi="Open Sans" w:cs="Open Sans"/>
          <w:b/>
          <w:bCs/>
          <w:sz w:val="22"/>
          <w:szCs w:val="22"/>
        </w:rPr>
      </w:pPr>
    </w:p>
    <w:p w14:paraId="250E0CE4" w14:textId="77777777" w:rsidR="00083338" w:rsidRDefault="00083338" w:rsidP="00083338">
      <w:pPr>
        <w:rPr>
          <w:rFonts w:ascii="Open Sans" w:hAnsi="Open Sans" w:cs="Open Sans"/>
          <w:b/>
          <w:bCs/>
          <w:sz w:val="22"/>
          <w:szCs w:val="22"/>
        </w:rPr>
      </w:pPr>
    </w:p>
    <w:p w14:paraId="2B94E9E7" w14:textId="12BAD870" w:rsidR="00083338" w:rsidRPr="00083338" w:rsidRDefault="00083338" w:rsidP="00083338">
      <w:pPr>
        <w:rPr>
          <w:rFonts w:ascii="Open Sans" w:hAnsi="Open Sans" w:cs="Open Sans"/>
          <w:b/>
          <w:bCs/>
          <w:sz w:val="22"/>
          <w:szCs w:val="22"/>
        </w:rPr>
      </w:pPr>
      <w:r w:rsidRPr="00083338">
        <w:rPr>
          <w:rFonts w:ascii="Open Sans" w:hAnsi="Open Sans" w:cs="Open Sans"/>
          <w:b/>
          <w:bCs/>
          <w:sz w:val="22"/>
          <w:szCs w:val="22"/>
        </w:rPr>
        <w:lastRenderedPageBreak/>
        <w:t>Additional Responsibilities: Commercial Lead</w:t>
      </w:r>
    </w:p>
    <w:p w14:paraId="0ADE1977" w14:textId="77777777" w:rsidR="00083338" w:rsidRPr="00083338" w:rsidRDefault="00083338" w:rsidP="00083338">
      <w:pPr>
        <w:rPr>
          <w:rFonts w:ascii="Open Sans" w:hAnsi="Open Sans" w:cs="Open Sans"/>
          <w:sz w:val="22"/>
          <w:szCs w:val="22"/>
        </w:rPr>
      </w:pPr>
      <w:r w:rsidRPr="00083338">
        <w:rPr>
          <w:rFonts w:ascii="Open Sans" w:hAnsi="Open Sans" w:cs="Open Sans"/>
          <w:sz w:val="22"/>
          <w:szCs w:val="22"/>
        </w:rPr>
        <w:t>In addition to the core trustee responsibilities, the Commercial Lead will:</w:t>
      </w:r>
    </w:p>
    <w:p w14:paraId="058395D8" w14:textId="77777777" w:rsidR="00083338" w:rsidRPr="00083338" w:rsidRDefault="00083338" w:rsidP="00083338">
      <w:pPr>
        <w:spacing w:line="240" w:lineRule="auto"/>
        <w:rPr>
          <w:rFonts w:ascii="Open Sans" w:hAnsi="Open Sans" w:cs="Open Sans"/>
          <w:b/>
          <w:bCs/>
          <w:sz w:val="22"/>
          <w:szCs w:val="22"/>
        </w:rPr>
      </w:pPr>
      <w:r w:rsidRPr="00083338">
        <w:rPr>
          <w:rFonts w:ascii="Open Sans" w:hAnsi="Open Sans" w:cs="Open Sans"/>
          <w:b/>
          <w:bCs/>
          <w:sz w:val="22"/>
          <w:szCs w:val="22"/>
        </w:rPr>
        <w:t>Strategic Commercial Insight</w:t>
      </w:r>
    </w:p>
    <w:p w14:paraId="24182802" w14:textId="77777777" w:rsidR="00083338" w:rsidRPr="00083338" w:rsidRDefault="00083338" w:rsidP="00083338">
      <w:pPr>
        <w:numPr>
          <w:ilvl w:val="0"/>
          <w:numId w:val="2"/>
        </w:numPr>
        <w:spacing w:line="240" w:lineRule="auto"/>
        <w:rPr>
          <w:rFonts w:ascii="Open Sans" w:hAnsi="Open Sans" w:cs="Open Sans"/>
          <w:sz w:val="22"/>
          <w:szCs w:val="22"/>
        </w:rPr>
      </w:pPr>
      <w:r w:rsidRPr="00083338">
        <w:rPr>
          <w:rFonts w:ascii="Open Sans" w:hAnsi="Open Sans" w:cs="Open Sans"/>
          <w:sz w:val="22"/>
          <w:szCs w:val="22"/>
        </w:rPr>
        <w:t>Provide expert advice and constructive challenge on commercial strategy and income generation</w:t>
      </w:r>
    </w:p>
    <w:p w14:paraId="4DC39278" w14:textId="77777777" w:rsidR="00083338" w:rsidRPr="00083338" w:rsidRDefault="00083338" w:rsidP="00083338">
      <w:pPr>
        <w:numPr>
          <w:ilvl w:val="0"/>
          <w:numId w:val="2"/>
        </w:numPr>
        <w:spacing w:line="240" w:lineRule="auto"/>
        <w:rPr>
          <w:rFonts w:ascii="Open Sans" w:hAnsi="Open Sans" w:cs="Open Sans"/>
          <w:sz w:val="22"/>
          <w:szCs w:val="22"/>
        </w:rPr>
      </w:pPr>
      <w:r w:rsidRPr="00083338">
        <w:rPr>
          <w:rFonts w:ascii="Open Sans" w:hAnsi="Open Sans" w:cs="Open Sans"/>
          <w:sz w:val="22"/>
          <w:szCs w:val="22"/>
        </w:rPr>
        <w:t>Support the Board in balancing mission and commercial opportunity appropriately</w:t>
      </w:r>
    </w:p>
    <w:p w14:paraId="62D6D2D8" w14:textId="77777777" w:rsidR="00083338" w:rsidRDefault="00083338" w:rsidP="00083338">
      <w:pPr>
        <w:numPr>
          <w:ilvl w:val="0"/>
          <w:numId w:val="2"/>
        </w:numPr>
        <w:spacing w:line="240" w:lineRule="auto"/>
        <w:rPr>
          <w:rFonts w:ascii="Open Sans" w:hAnsi="Open Sans" w:cs="Open Sans"/>
          <w:sz w:val="22"/>
          <w:szCs w:val="22"/>
        </w:rPr>
      </w:pPr>
      <w:r w:rsidRPr="00083338">
        <w:rPr>
          <w:rFonts w:ascii="Open Sans" w:hAnsi="Open Sans" w:cs="Open Sans"/>
          <w:sz w:val="22"/>
          <w:szCs w:val="22"/>
        </w:rPr>
        <w:t>Bring an external perspective on market trends, partnerships, and revenue models</w:t>
      </w:r>
    </w:p>
    <w:p w14:paraId="508A39AC" w14:textId="6598F142" w:rsidR="003D057D" w:rsidRPr="003D057D" w:rsidRDefault="003D057D" w:rsidP="003D057D">
      <w:pPr>
        <w:spacing w:before="100" w:beforeAutospacing="1" w:after="100" w:afterAutospacing="1" w:line="240" w:lineRule="auto"/>
        <w:outlineLvl w:val="2"/>
        <w:rPr>
          <w:rFonts w:ascii="Open Sans" w:eastAsia="Times New Roman" w:hAnsi="Open Sans" w:cs="Open Sans"/>
          <w:b/>
          <w:bCs/>
          <w:kern w:val="0"/>
          <w:sz w:val="22"/>
          <w:szCs w:val="22"/>
          <w:lang w:eastAsia="en-GB"/>
          <w14:ligatures w14:val="none"/>
        </w:rPr>
      </w:pPr>
      <w:r w:rsidRPr="003D057D">
        <w:rPr>
          <w:rFonts w:ascii="Open Sans" w:eastAsia="Times New Roman" w:hAnsi="Open Sans" w:cs="Open Sans"/>
          <w:b/>
          <w:bCs/>
          <w:kern w:val="0"/>
          <w:sz w:val="22"/>
          <w:szCs w:val="22"/>
          <w:lang w:eastAsia="en-GB"/>
          <w14:ligatures w14:val="none"/>
        </w:rPr>
        <w:t>Commercial Partnerships</w:t>
      </w:r>
    </w:p>
    <w:p w14:paraId="61D35A91" w14:textId="77777777" w:rsidR="003D057D" w:rsidRPr="003D057D" w:rsidRDefault="003D057D" w:rsidP="003D057D">
      <w:pPr>
        <w:numPr>
          <w:ilvl w:val="0"/>
          <w:numId w:val="3"/>
        </w:numPr>
        <w:spacing w:before="100" w:beforeAutospacing="1" w:after="100" w:afterAutospacing="1" w:line="276" w:lineRule="auto"/>
        <w:rPr>
          <w:rFonts w:ascii="Open Sans" w:eastAsia="Times New Roman" w:hAnsi="Open Sans" w:cs="Open Sans"/>
          <w:kern w:val="0"/>
          <w:sz w:val="22"/>
          <w:szCs w:val="22"/>
          <w:lang w:eastAsia="en-GB"/>
          <w14:ligatures w14:val="none"/>
        </w:rPr>
      </w:pPr>
      <w:r w:rsidRPr="003D057D">
        <w:rPr>
          <w:rFonts w:ascii="Open Sans" w:eastAsia="Times New Roman" w:hAnsi="Open Sans" w:cs="Open Sans"/>
          <w:kern w:val="0"/>
          <w:sz w:val="22"/>
          <w:szCs w:val="22"/>
          <w:lang w:eastAsia="en-GB"/>
          <w14:ligatures w14:val="none"/>
        </w:rPr>
        <w:t>Support the identification and development of sponsorship opportunities and corporate partnerships that align with the organisation’s mission and values</w:t>
      </w:r>
    </w:p>
    <w:p w14:paraId="044659C6" w14:textId="77777777" w:rsidR="003D057D" w:rsidRPr="003D057D" w:rsidRDefault="003D057D" w:rsidP="003D057D">
      <w:pPr>
        <w:numPr>
          <w:ilvl w:val="0"/>
          <w:numId w:val="3"/>
        </w:numPr>
        <w:spacing w:before="100" w:beforeAutospacing="1" w:after="100" w:afterAutospacing="1" w:line="276" w:lineRule="auto"/>
        <w:rPr>
          <w:rFonts w:ascii="Open Sans" w:eastAsia="Times New Roman" w:hAnsi="Open Sans" w:cs="Open Sans"/>
          <w:kern w:val="0"/>
          <w:sz w:val="22"/>
          <w:szCs w:val="22"/>
          <w:lang w:eastAsia="en-GB"/>
          <w14:ligatures w14:val="none"/>
        </w:rPr>
      </w:pPr>
      <w:r w:rsidRPr="003D057D">
        <w:rPr>
          <w:rFonts w:ascii="Open Sans" w:eastAsia="Times New Roman" w:hAnsi="Open Sans" w:cs="Open Sans"/>
          <w:kern w:val="0"/>
          <w:sz w:val="22"/>
          <w:szCs w:val="22"/>
          <w:lang w:eastAsia="en-GB"/>
          <w14:ligatures w14:val="none"/>
        </w:rPr>
        <w:t>Provide strategic input on how to engage effectively with businesses to create mutually beneficial collaborations</w:t>
      </w:r>
    </w:p>
    <w:p w14:paraId="19EEC664" w14:textId="77777777" w:rsidR="003D057D" w:rsidRPr="003D057D" w:rsidRDefault="003D057D" w:rsidP="003D057D">
      <w:pPr>
        <w:numPr>
          <w:ilvl w:val="0"/>
          <w:numId w:val="3"/>
        </w:numPr>
        <w:spacing w:before="100" w:beforeAutospacing="1" w:after="100" w:afterAutospacing="1" w:line="276" w:lineRule="auto"/>
        <w:rPr>
          <w:rFonts w:ascii="Open Sans" w:eastAsia="Times New Roman" w:hAnsi="Open Sans" w:cs="Open Sans"/>
          <w:kern w:val="0"/>
          <w:sz w:val="22"/>
          <w:szCs w:val="22"/>
          <w:lang w:eastAsia="en-GB"/>
          <w14:ligatures w14:val="none"/>
        </w:rPr>
      </w:pPr>
      <w:r w:rsidRPr="003D057D">
        <w:rPr>
          <w:rFonts w:ascii="Open Sans" w:eastAsia="Times New Roman" w:hAnsi="Open Sans" w:cs="Open Sans"/>
          <w:kern w:val="0"/>
          <w:sz w:val="22"/>
          <w:szCs w:val="22"/>
          <w:lang w:eastAsia="en-GB"/>
          <w14:ligatures w14:val="none"/>
        </w:rPr>
        <w:t>Advise on approaches to securing income through sponsorship, joint initiatives, and other partnership models</w:t>
      </w:r>
    </w:p>
    <w:p w14:paraId="783DAC69" w14:textId="77777777" w:rsidR="003D057D" w:rsidRPr="003D057D" w:rsidRDefault="003D057D" w:rsidP="003D057D">
      <w:pPr>
        <w:numPr>
          <w:ilvl w:val="0"/>
          <w:numId w:val="3"/>
        </w:numPr>
        <w:spacing w:before="100" w:beforeAutospacing="1" w:after="100" w:afterAutospacing="1" w:line="276" w:lineRule="auto"/>
        <w:rPr>
          <w:rFonts w:ascii="Open Sans" w:eastAsia="Times New Roman" w:hAnsi="Open Sans" w:cs="Open Sans"/>
          <w:kern w:val="0"/>
          <w:sz w:val="22"/>
          <w:szCs w:val="22"/>
          <w:lang w:eastAsia="en-GB"/>
          <w14:ligatures w14:val="none"/>
        </w:rPr>
      </w:pPr>
      <w:r w:rsidRPr="003D057D">
        <w:rPr>
          <w:rFonts w:ascii="Open Sans" w:eastAsia="Times New Roman" w:hAnsi="Open Sans" w:cs="Open Sans"/>
          <w:kern w:val="0"/>
          <w:sz w:val="22"/>
          <w:szCs w:val="22"/>
          <w:lang w:eastAsia="en-GB"/>
          <w14:ligatures w14:val="none"/>
        </w:rPr>
        <w:t>Bring insight into what motivates corporate partners, including brand alignment, social value, and reputational benefit</w:t>
      </w:r>
    </w:p>
    <w:p w14:paraId="710C4049" w14:textId="77777777" w:rsidR="003D057D" w:rsidRPr="003D057D" w:rsidRDefault="003D057D" w:rsidP="003D057D">
      <w:pPr>
        <w:numPr>
          <w:ilvl w:val="0"/>
          <w:numId w:val="3"/>
        </w:numPr>
        <w:spacing w:before="100" w:beforeAutospacing="1" w:after="100" w:afterAutospacing="1" w:line="276" w:lineRule="auto"/>
        <w:rPr>
          <w:rFonts w:ascii="Open Sans" w:eastAsia="Times New Roman" w:hAnsi="Open Sans" w:cs="Open Sans"/>
          <w:kern w:val="0"/>
          <w:sz w:val="22"/>
          <w:szCs w:val="22"/>
          <w:lang w:eastAsia="en-GB"/>
          <w14:ligatures w14:val="none"/>
        </w:rPr>
      </w:pPr>
      <w:r w:rsidRPr="003D057D">
        <w:rPr>
          <w:rFonts w:ascii="Open Sans" w:eastAsia="Times New Roman" w:hAnsi="Open Sans" w:cs="Open Sans"/>
          <w:kern w:val="0"/>
          <w:sz w:val="22"/>
          <w:szCs w:val="22"/>
          <w:lang w:eastAsia="en-GB"/>
          <w14:ligatures w14:val="none"/>
        </w:rPr>
        <w:t>Support the Board in ensuring appropriate governance, ethical standards, and reputational safeguards in all commercial relationships</w:t>
      </w:r>
    </w:p>
    <w:p w14:paraId="0BBB646B" w14:textId="4D295164" w:rsidR="003D057D" w:rsidRPr="00083338" w:rsidRDefault="003D057D" w:rsidP="003D057D">
      <w:pPr>
        <w:numPr>
          <w:ilvl w:val="0"/>
          <w:numId w:val="3"/>
        </w:numPr>
        <w:spacing w:before="100" w:beforeAutospacing="1" w:after="100" w:afterAutospacing="1" w:line="276" w:lineRule="auto"/>
        <w:rPr>
          <w:rFonts w:ascii="Open Sans" w:eastAsia="Times New Roman" w:hAnsi="Open Sans" w:cs="Open Sans"/>
          <w:kern w:val="0"/>
          <w:sz w:val="22"/>
          <w:szCs w:val="22"/>
          <w:lang w:eastAsia="en-GB"/>
          <w14:ligatures w14:val="none"/>
        </w:rPr>
      </w:pPr>
      <w:r w:rsidRPr="003D057D">
        <w:rPr>
          <w:rFonts w:ascii="Open Sans" w:eastAsia="Times New Roman" w:hAnsi="Open Sans" w:cs="Open Sans"/>
          <w:kern w:val="0"/>
          <w:sz w:val="22"/>
          <w:szCs w:val="22"/>
          <w:lang w:eastAsia="en-GB"/>
          <w14:ligatures w14:val="none"/>
        </w:rPr>
        <w:t>Where appropriate, use personal networks to open doors to potential partners or collaborators</w:t>
      </w:r>
    </w:p>
    <w:p w14:paraId="66638CB9" w14:textId="77777777" w:rsidR="00083338" w:rsidRPr="00083338" w:rsidRDefault="00083338" w:rsidP="00083338">
      <w:pPr>
        <w:spacing w:line="240" w:lineRule="auto"/>
        <w:rPr>
          <w:rFonts w:ascii="Open Sans" w:hAnsi="Open Sans" w:cs="Open Sans"/>
          <w:b/>
          <w:bCs/>
          <w:sz w:val="22"/>
          <w:szCs w:val="22"/>
        </w:rPr>
      </w:pPr>
      <w:r w:rsidRPr="00083338">
        <w:rPr>
          <w:rFonts w:ascii="Open Sans" w:hAnsi="Open Sans" w:cs="Open Sans"/>
          <w:b/>
          <w:bCs/>
          <w:sz w:val="22"/>
          <w:szCs w:val="22"/>
        </w:rPr>
        <w:t>Income Generation &amp; Diversification</w:t>
      </w:r>
    </w:p>
    <w:p w14:paraId="141A7066" w14:textId="77777777" w:rsidR="00083338" w:rsidRPr="00083338" w:rsidRDefault="00083338" w:rsidP="00083338">
      <w:pPr>
        <w:numPr>
          <w:ilvl w:val="0"/>
          <w:numId w:val="5"/>
        </w:numPr>
        <w:spacing w:line="240" w:lineRule="auto"/>
        <w:rPr>
          <w:rFonts w:ascii="Open Sans" w:hAnsi="Open Sans" w:cs="Open Sans"/>
          <w:sz w:val="22"/>
          <w:szCs w:val="22"/>
        </w:rPr>
      </w:pPr>
      <w:r w:rsidRPr="00083338">
        <w:rPr>
          <w:rFonts w:ascii="Open Sans" w:hAnsi="Open Sans" w:cs="Open Sans"/>
          <w:sz w:val="22"/>
          <w:szCs w:val="22"/>
        </w:rPr>
        <w:t>Identify and help evaluate new income streams (e.g. services, partnerships, ventures)</w:t>
      </w:r>
    </w:p>
    <w:p w14:paraId="5556AEB4" w14:textId="77777777" w:rsidR="00083338" w:rsidRPr="00083338" w:rsidRDefault="00083338" w:rsidP="00083338">
      <w:pPr>
        <w:numPr>
          <w:ilvl w:val="0"/>
          <w:numId w:val="5"/>
        </w:numPr>
        <w:spacing w:line="240" w:lineRule="auto"/>
        <w:rPr>
          <w:rFonts w:ascii="Open Sans" w:hAnsi="Open Sans" w:cs="Open Sans"/>
          <w:sz w:val="22"/>
          <w:szCs w:val="22"/>
        </w:rPr>
      </w:pPr>
      <w:r w:rsidRPr="00083338">
        <w:rPr>
          <w:rFonts w:ascii="Open Sans" w:hAnsi="Open Sans" w:cs="Open Sans"/>
          <w:sz w:val="22"/>
          <w:szCs w:val="22"/>
        </w:rPr>
        <w:t>Support development of sustainable, ethical commercial opportunities aligned to charitable objectives</w:t>
      </w:r>
    </w:p>
    <w:p w14:paraId="79790B53" w14:textId="77777777" w:rsidR="00083338" w:rsidRPr="00083338" w:rsidRDefault="00083338" w:rsidP="00083338">
      <w:pPr>
        <w:numPr>
          <w:ilvl w:val="0"/>
          <w:numId w:val="5"/>
        </w:numPr>
        <w:spacing w:line="240" w:lineRule="auto"/>
        <w:rPr>
          <w:rFonts w:ascii="Open Sans" w:hAnsi="Open Sans" w:cs="Open Sans"/>
          <w:sz w:val="22"/>
          <w:szCs w:val="22"/>
        </w:rPr>
      </w:pPr>
      <w:r w:rsidRPr="00083338">
        <w:rPr>
          <w:rFonts w:ascii="Open Sans" w:hAnsi="Open Sans" w:cs="Open Sans"/>
          <w:sz w:val="22"/>
          <w:szCs w:val="22"/>
        </w:rPr>
        <w:t>Advise on pricing strategies, value propositions, and market positioning where appropriate</w:t>
      </w:r>
    </w:p>
    <w:p w14:paraId="33B46A7C" w14:textId="77777777" w:rsidR="00083338" w:rsidRPr="00083338" w:rsidRDefault="00083338" w:rsidP="00083338">
      <w:pPr>
        <w:spacing w:line="240" w:lineRule="auto"/>
        <w:rPr>
          <w:rFonts w:ascii="Open Sans" w:hAnsi="Open Sans" w:cs="Open Sans"/>
          <w:b/>
          <w:bCs/>
          <w:sz w:val="22"/>
          <w:szCs w:val="22"/>
        </w:rPr>
      </w:pPr>
      <w:r w:rsidRPr="00083338">
        <w:rPr>
          <w:rFonts w:ascii="Open Sans" w:hAnsi="Open Sans" w:cs="Open Sans"/>
          <w:b/>
          <w:bCs/>
          <w:sz w:val="22"/>
          <w:szCs w:val="22"/>
        </w:rPr>
        <w:t>Property &amp; Asset Optimisation</w:t>
      </w:r>
    </w:p>
    <w:p w14:paraId="2B65F04A" w14:textId="77777777" w:rsidR="00083338" w:rsidRPr="00083338" w:rsidRDefault="00083338" w:rsidP="00083338">
      <w:pPr>
        <w:numPr>
          <w:ilvl w:val="0"/>
          <w:numId w:val="4"/>
        </w:numPr>
        <w:spacing w:line="240" w:lineRule="auto"/>
        <w:rPr>
          <w:rFonts w:ascii="Open Sans" w:hAnsi="Open Sans" w:cs="Open Sans"/>
          <w:sz w:val="22"/>
          <w:szCs w:val="22"/>
        </w:rPr>
      </w:pPr>
      <w:r w:rsidRPr="00083338">
        <w:rPr>
          <w:rFonts w:ascii="Open Sans" w:hAnsi="Open Sans" w:cs="Open Sans"/>
          <w:sz w:val="22"/>
          <w:szCs w:val="22"/>
        </w:rPr>
        <w:t>Provide strategic input on the use of organisational assets, including owned property</w:t>
      </w:r>
    </w:p>
    <w:p w14:paraId="00C0072D" w14:textId="77777777" w:rsidR="00083338" w:rsidRPr="00083338" w:rsidRDefault="00083338" w:rsidP="00083338">
      <w:pPr>
        <w:numPr>
          <w:ilvl w:val="0"/>
          <w:numId w:val="4"/>
        </w:numPr>
        <w:spacing w:line="240" w:lineRule="auto"/>
        <w:rPr>
          <w:rFonts w:ascii="Open Sans" w:hAnsi="Open Sans" w:cs="Open Sans"/>
          <w:sz w:val="22"/>
          <w:szCs w:val="22"/>
        </w:rPr>
      </w:pPr>
      <w:r w:rsidRPr="00083338">
        <w:rPr>
          <w:rFonts w:ascii="Open Sans" w:hAnsi="Open Sans" w:cs="Open Sans"/>
          <w:sz w:val="22"/>
          <w:szCs w:val="22"/>
        </w:rPr>
        <w:lastRenderedPageBreak/>
        <w:t>Support exploration of opportunities such as leasing, co-location, redevelopment, or alternative use</w:t>
      </w:r>
    </w:p>
    <w:p w14:paraId="61DFF6FA" w14:textId="77777777" w:rsidR="00083338" w:rsidRPr="00083338" w:rsidRDefault="00083338" w:rsidP="00083338">
      <w:pPr>
        <w:numPr>
          <w:ilvl w:val="0"/>
          <w:numId w:val="4"/>
        </w:numPr>
        <w:spacing w:line="240" w:lineRule="auto"/>
        <w:rPr>
          <w:rFonts w:ascii="Open Sans" w:hAnsi="Open Sans" w:cs="Open Sans"/>
          <w:sz w:val="22"/>
          <w:szCs w:val="22"/>
        </w:rPr>
      </w:pPr>
      <w:r w:rsidRPr="00083338">
        <w:rPr>
          <w:rFonts w:ascii="Open Sans" w:hAnsi="Open Sans" w:cs="Open Sans"/>
          <w:sz w:val="22"/>
          <w:szCs w:val="22"/>
        </w:rPr>
        <w:t>Ensure asset decisions are financially sound and aligned to long-term strategy</w:t>
      </w:r>
    </w:p>
    <w:p w14:paraId="6812C669" w14:textId="77777777" w:rsidR="00083338" w:rsidRPr="00083338" w:rsidRDefault="00083338" w:rsidP="00083338">
      <w:pPr>
        <w:spacing w:line="240" w:lineRule="auto"/>
        <w:rPr>
          <w:rFonts w:ascii="Open Sans" w:hAnsi="Open Sans" w:cs="Open Sans"/>
          <w:b/>
          <w:bCs/>
          <w:sz w:val="22"/>
          <w:szCs w:val="22"/>
        </w:rPr>
      </w:pPr>
      <w:r w:rsidRPr="00083338">
        <w:rPr>
          <w:rFonts w:ascii="Open Sans" w:hAnsi="Open Sans" w:cs="Open Sans"/>
          <w:b/>
          <w:bCs/>
          <w:sz w:val="22"/>
          <w:szCs w:val="22"/>
        </w:rPr>
        <w:t>Partnerships &amp; Networks</w:t>
      </w:r>
    </w:p>
    <w:p w14:paraId="33529D89" w14:textId="77777777" w:rsidR="00083338" w:rsidRPr="00083338" w:rsidRDefault="00083338" w:rsidP="00083338">
      <w:pPr>
        <w:numPr>
          <w:ilvl w:val="0"/>
          <w:numId w:val="6"/>
        </w:numPr>
        <w:spacing w:line="240" w:lineRule="auto"/>
        <w:rPr>
          <w:rFonts w:ascii="Open Sans" w:hAnsi="Open Sans" w:cs="Open Sans"/>
          <w:sz w:val="22"/>
          <w:szCs w:val="22"/>
        </w:rPr>
      </w:pPr>
      <w:r w:rsidRPr="00083338">
        <w:rPr>
          <w:rFonts w:ascii="Open Sans" w:hAnsi="Open Sans" w:cs="Open Sans"/>
          <w:sz w:val="22"/>
          <w:szCs w:val="22"/>
        </w:rPr>
        <w:t>Leverage personal networks where appropriate to support commercial opportunities</w:t>
      </w:r>
    </w:p>
    <w:p w14:paraId="0372601F" w14:textId="77777777" w:rsidR="00083338" w:rsidRPr="00083338" w:rsidRDefault="00083338" w:rsidP="00083338">
      <w:pPr>
        <w:numPr>
          <w:ilvl w:val="0"/>
          <w:numId w:val="6"/>
        </w:numPr>
        <w:spacing w:line="240" w:lineRule="auto"/>
        <w:rPr>
          <w:rFonts w:ascii="Open Sans" w:hAnsi="Open Sans" w:cs="Open Sans"/>
          <w:sz w:val="22"/>
          <w:szCs w:val="22"/>
        </w:rPr>
      </w:pPr>
      <w:r w:rsidRPr="00083338">
        <w:rPr>
          <w:rFonts w:ascii="Open Sans" w:hAnsi="Open Sans" w:cs="Open Sans"/>
          <w:sz w:val="22"/>
          <w:szCs w:val="22"/>
        </w:rPr>
        <w:t>Provide insight into potential partnerships across private and public sectors</w:t>
      </w:r>
    </w:p>
    <w:p w14:paraId="07859799" w14:textId="1DA74D00" w:rsidR="00083338" w:rsidRPr="00083338" w:rsidRDefault="00083338" w:rsidP="00083338">
      <w:pPr>
        <w:numPr>
          <w:ilvl w:val="0"/>
          <w:numId w:val="6"/>
        </w:numPr>
        <w:spacing w:line="240" w:lineRule="auto"/>
        <w:rPr>
          <w:rFonts w:ascii="Open Sans" w:hAnsi="Open Sans" w:cs="Open Sans"/>
          <w:sz w:val="22"/>
          <w:szCs w:val="22"/>
        </w:rPr>
      </w:pPr>
      <w:r w:rsidRPr="00083338">
        <w:rPr>
          <w:rFonts w:ascii="Open Sans" w:hAnsi="Open Sans" w:cs="Open Sans"/>
          <w:sz w:val="22"/>
          <w:szCs w:val="22"/>
        </w:rPr>
        <w:t>Support relationship-building with key external stakeholders</w:t>
      </w:r>
    </w:p>
    <w:p w14:paraId="4B4184AA" w14:textId="2C7E6215" w:rsidR="00083338" w:rsidRPr="00083338" w:rsidRDefault="00083338" w:rsidP="00083338">
      <w:pPr>
        <w:spacing w:line="240" w:lineRule="auto"/>
        <w:rPr>
          <w:rFonts w:ascii="Open Sans" w:hAnsi="Open Sans" w:cs="Open Sans"/>
          <w:b/>
          <w:bCs/>
          <w:sz w:val="22"/>
          <w:szCs w:val="22"/>
        </w:rPr>
      </w:pPr>
      <w:r w:rsidRPr="00083338">
        <w:rPr>
          <w:rFonts w:ascii="Open Sans" w:hAnsi="Open Sans" w:cs="Open Sans"/>
          <w:b/>
          <w:bCs/>
          <w:sz w:val="22"/>
          <w:szCs w:val="22"/>
        </w:rPr>
        <w:t>Risk &amp; Governance</w:t>
      </w:r>
    </w:p>
    <w:p w14:paraId="2B8B5443" w14:textId="77777777" w:rsidR="00083338" w:rsidRPr="00083338" w:rsidRDefault="00083338" w:rsidP="00083338">
      <w:pPr>
        <w:numPr>
          <w:ilvl w:val="0"/>
          <w:numId w:val="9"/>
        </w:numPr>
        <w:spacing w:line="240" w:lineRule="auto"/>
        <w:rPr>
          <w:rFonts w:ascii="Open Sans" w:hAnsi="Open Sans" w:cs="Open Sans"/>
          <w:sz w:val="22"/>
          <w:szCs w:val="22"/>
        </w:rPr>
      </w:pPr>
      <w:r w:rsidRPr="00083338">
        <w:rPr>
          <w:rFonts w:ascii="Open Sans" w:hAnsi="Open Sans" w:cs="Open Sans"/>
          <w:sz w:val="22"/>
          <w:szCs w:val="22"/>
        </w:rPr>
        <w:t>Ensure commercial activities are underpinned by appropriate governance, risk assessment, and ethical considerations</w:t>
      </w:r>
    </w:p>
    <w:p w14:paraId="1B2C5466" w14:textId="77777777" w:rsidR="00083338" w:rsidRPr="00083338" w:rsidRDefault="00083338" w:rsidP="00083338">
      <w:pPr>
        <w:numPr>
          <w:ilvl w:val="0"/>
          <w:numId w:val="9"/>
        </w:numPr>
        <w:spacing w:line="240" w:lineRule="auto"/>
        <w:rPr>
          <w:rFonts w:ascii="Open Sans" w:hAnsi="Open Sans" w:cs="Open Sans"/>
          <w:sz w:val="22"/>
          <w:szCs w:val="22"/>
        </w:rPr>
      </w:pPr>
      <w:r w:rsidRPr="00083338">
        <w:rPr>
          <w:rFonts w:ascii="Open Sans" w:hAnsi="Open Sans" w:cs="Open Sans"/>
          <w:sz w:val="22"/>
          <w:szCs w:val="22"/>
        </w:rPr>
        <w:t>Support the Board in understanding the risks associated with commercial ventures</w:t>
      </w:r>
    </w:p>
    <w:p w14:paraId="0EAEA087" w14:textId="77777777" w:rsidR="00083338" w:rsidRPr="00083338" w:rsidRDefault="00083338" w:rsidP="00083338">
      <w:pPr>
        <w:numPr>
          <w:ilvl w:val="0"/>
          <w:numId w:val="9"/>
        </w:numPr>
        <w:spacing w:line="240" w:lineRule="auto"/>
        <w:rPr>
          <w:rFonts w:ascii="Open Sans" w:hAnsi="Open Sans" w:cs="Open Sans"/>
          <w:sz w:val="22"/>
          <w:szCs w:val="22"/>
        </w:rPr>
      </w:pPr>
      <w:r w:rsidRPr="00083338">
        <w:rPr>
          <w:rFonts w:ascii="Open Sans" w:hAnsi="Open Sans" w:cs="Open Sans"/>
          <w:sz w:val="22"/>
          <w:szCs w:val="22"/>
        </w:rPr>
        <w:t>Ensure that commercial decisions remain consistent with charitable purpose and public benefit</w:t>
      </w:r>
    </w:p>
    <w:p w14:paraId="4367F8AA" w14:textId="77777777" w:rsidR="00083338" w:rsidRPr="00083338" w:rsidRDefault="00083338" w:rsidP="00083338">
      <w:pPr>
        <w:rPr>
          <w:rFonts w:ascii="Open Sans" w:hAnsi="Open Sans" w:cs="Open Sans"/>
          <w:b/>
          <w:bCs/>
          <w:sz w:val="22"/>
          <w:szCs w:val="22"/>
        </w:rPr>
      </w:pPr>
    </w:p>
    <w:p w14:paraId="4738CD1E" w14:textId="2631110D" w:rsidR="00083338" w:rsidRPr="00083338" w:rsidRDefault="00083338" w:rsidP="00083338">
      <w:pPr>
        <w:rPr>
          <w:rFonts w:ascii="Open Sans" w:hAnsi="Open Sans" w:cs="Open Sans"/>
          <w:b/>
          <w:bCs/>
          <w:sz w:val="22"/>
          <w:szCs w:val="22"/>
        </w:rPr>
      </w:pPr>
      <w:r w:rsidRPr="00083338">
        <w:rPr>
          <w:rFonts w:ascii="Open Sans" w:hAnsi="Open Sans" w:cs="Open Sans"/>
          <w:b/>
          <w:bCs/>
          <w:sz w:val="22"/>
          <w:szCs w:val="22"/>
        </w:rPr>
        <w:t>Person Specification</w:t>
      </w:r>
    </w:p>
    <w:p w14:paraId="6921E3DE" w14:textId="77777777" w:rsidR="00083338" w:rsidRPr="00083338" w:rsidRDefault="00083338" w:rsidP="00083338">
      <w:pPr>
        <w:rPr>
          <w:rFonts w:ascii="Open Sans" w:hAnsi="Open Sans" w:cs="Open Sans"/>
          <w:b/>
          <w:bCs/>
          <w:sz w:val="22"/>
          <w:szCs w:val="22"/>
        </w:rPr>
      </w:pPr>
      <w:r w:rsidRPr="00083338">
        <w:rPr>
          <w:rFonts w:ascii="Open Sans" w:hAnsi="Open Sans" w:cs="Open Sans"/>
          <w:b/>
          <w:bCs/>
          <w:sz w:val="22"/>
          <w:szCs w:val="22"/>
        </w:rPr>
        <w:t>Essential</w:t>
      </w:r>
    </w:p>
    <w:p w14:paraId="542FB209" w14:textId="77777777" w:rsidR="00083338" w:rsidRPr="00083338" w:rsidRDefault="00083338" w:rsidP="00083338">
      <w:pPr>
        <w:numPr>
          <w:ilvl w:val="0"/>
          <w:numId w:val="11"/>
        </w:numPr>
        <w:rPr>
          <w:rFonts w:ascii="Open Sans" w:hAnsi="Open Sans" w:cs="Open Sans"/>
          <w:sz w:val="22"/>
          <w:szCs w:val="22"/>
        </w:rPr>
      </w:pPr>
      <w:r w:rsidRPr="00083338">
        <w:rPr>
          <w:rFonts w:ascii="Open Sans" w:hAnsi="Open Sans" w:cs="Open Sans"/>
          <w:sz w:val="22"/>
          <w:szCs w:val="22"/>
        </w:rPr>
        <w:t>Significant senior experience in commercial, business development, or strategic roles (private, public, or social enterprise sectors)</w:t>
      </w:r>
    </w:p>
    <w:p w14:paraId="44CDDCCF" w14:textId="77777777" w:rsidR="00083338" w:rsidRPr="00083338" w:rsidRDefault="00083338" w:rsidP="00083338">
      <w:pPr>
        <w:numPr>
          <w:ilvl w:val="0"/>
          <w:numId w:val="11"/>
        </w:numPr>
        <w:rPr>
          <w:rFonts w:ascii="Open Sans" w:hAnsi="Open Sans" w:cs="Open Sans"/>
          <w:sz w:val="22"/>
          <w:szCs w:val="22"/>
        </w:rPr>
      </w:pPr>
      <w:r w:rsidRPr="00083338">
        <w:rPr>
          <w:rFonts w:ascii="Open Sans" w:hAnsi="Open Sans" w:cs="Open Sans"/>
          <w:sz w:val="22"/>
          <w:szCs w:val="22"/>
        </w:rPr>
        <w:t>Strong understanding of revenue generation, financial sustainability, and market dynamics</w:t>
      </w:r>
    </w:p>
    <w:p w14:paraId="289CCD5D" w14:textId="77777777" w:rsidR="00083338" w:rsidRPr="00083338" w:rsidRDefault="00083338" w:rsidP="00083338">
      <w:pPr>
        <w:numPr>
          <w:ilvl w:val="0"/>
          <w:numId w:val="11"/>
        </w:numPr>
        <w:rPr>
          <w:rFonts w:ascii="Open Sans" w:hAnsi="Open Sans" w:cs="Open Sans"/>
          <w:sz w:val="22"/>
          <w:szCs w:val="22"/>
        </w:rPr>
      </w:pPr>
      <w:r w:rsidRPr="00083338">
        <w:rPr>
          <w:rFonts w:ascii="Open Sans" w:hAnsi="Open Sans" w:cs="Open Sans"/>
          <w:sz w:val="22"/>
          <w:szCs w:val="22"/>
        </w:rPr>
        <w:t>Experience of identifying and developing commercial opportunities</w:t>
      </w:r>
    </w:p>
    <w:p w14:paraId="227F2C4C" w14:textId="77777777" w:rsidR="00083338" w:rsidRPr="00083338" w:rsidRDefault="00083338" w:rsidP="00083338">
      <w:pPr>
        <w:numPr>
          <w:ilvl w:val="0"/>
          <w:numId w:val="11"/>
        </w:numPr>
        <w:rPr>
          <w:rFonts w:ascii="Open Sans" w:hAnsi="Open Sans" w:cs="Open Sans"/>
          <w:sz w:val="22"/>
          <w:szCs w:val="22"/>
        </w:rPr>
      </w:pPr>
      <w:r w:rsidRPr="00083338">
        <w:rPr>
          <w:rFonts w:ascii="Open Sans" w:hAnsi="Open Sans" w:cs="Open Sans"/>
          <w:sz w:val="22"/>
          <w:szCs w:val="22"/>
        </w:rPr>
        <w:t>Strategic thinker with the ability to balance opportunity and risk</w:t>
      </w:r>
    </w:p>
    <w:p w14:paraId="03D32C57" w14:textId="77777777" w:rsidR="00083338" w:rsidRPr="00083338" w:rsidRDefault="00083338" w:rsidP="00083338">
      <w:pPr>
        <w:numPr>
          <w:ilvl w:val="0"/>
          <w:numId w:val="11"/>
        </w:numPr>
        <w:rPr>
          <w:rFonts w:ascii="Open Sans" w:hAnsi="Open Sans" w:cs="Open Sans"/>
          <w:sz w:val="22"/>
          <w:szCs w:val="22"/>
        </w:rPr>
      </w:pPr>
      <w:r w:rsidRPr="00083338">
        <w:rPr>
          <w:rFonts w:ascii="Open Sans" w:hAnsi="Open Sans" w:cs="Open Sans"/>
          <w:sz w:val="22"/>
          <w:szCs w:val="22"/>
        </w:rPr>
        <w:t>Commitment to the values and purpose of the organisation</w:t>
      </w:r>
    </w:p>
    <w:p w14:paraId="5758B915" w14:textId="77777777" w:rsidR="00083338" w:rsidRPr="00083338" w:rsidRDefault="00083338" w:rsidP="00083338">
      <w:pPr>
        <w:numPr>
          <w:ilvl w:val="0"/>
          <w:numId w:val="11"/>
        </w:numPr>
        <w:rPr>
          <w:rFonts w:ascii="Open Sans" w:hAnsi="Open Sans" w:cs="Open Sans"/>
          <w:sz w:val="22"/>
          <w:szCs w:val="22"/>
        </w:rPr>
      </w:pPr>
      <w:r w:rsidRPr="00083338">
        <w:rPr>
          <w:rFonts w:ascii="Open Sans" w:hAnsi="Open Sans" w:cs="Open Sans"/>
          <w:sz w:val="22"/>
          <w:szCs w:val="22"/>
        </w:rPr>
        <w:t>Ability to operate effectively at Board level, providing support and constructive challenge</w:t>
      </w:r>
    </w:p>
    <w:p w14:paraId="01C12C4E" w14:textId="77777777" w:rsidR="00083338" w:rsidRPr="00083338" w:rsidRDefault="00083338" w:rsidP="00083338">
      <w:pPr>
        <w:rPr>
          <w:rFonts w:ascii="Open Sans" w:hAnsi="Open Sans" w:cs="Open Sans"/>
          <w:b/>
          <w:bCs/>
          <w:sz w:val="22"/>
          <w:szCs w:val="22"/>
        </w:rPr>
      </w:pPr>
      <w:r w:rsidRPr="00083338">
        <w:rPr>
          <w:rFonts w:ascii="Open Sans" w:hAnsi="Open Sans" w:cs="Open Sans"/>
          <w:b/>
          <w:bCs/>
          <w:sz w:val="22"/>
          <w:szCs w:val="22"/>
        </w:rPr>
        <w:t>Desirable</w:t>
      </w:r>
    </w:p>
    <w:p w14:paraId="6ACD5F5C" w14:textId="77777777" w:rsidR="00083338" w:rsidRPr="00083338" w:rsidRDefault="00083338" w:rsidP="00083338">
      <w:pPr>
        <w:numPr>
          <w:ilvl w:val="0"/>
          <w:numId w:val="10"/>
        </w:numPr>
        <w:rPr>
          <w:rFonts w:ascii="Open Sans" w:hAnsi="Open Sans" w:cs="Open Sans"/>
          <w:sz w:val="22"/>
          <w:szCs w:val="22"/>
        </w:rPr>
      </w:pPr>
      <w:r w:rsidRPr="00083338">
        <w:rPr>
          <w:rFonts w:ascii="Open Sans" w:hAnsi="Open Sans" w:cs="Open Sans"/>
          <w:sz w:val="22"/>
          <w:szCs w:val="22"/>
        </w:rPr>
        <w:t>Experience of working with or advising charities or not-for-profit organisations</w:t>
      </w:r>
    </w:p>
    <w:p w14:paraId="63D04103" w14:textId="77777777" w:rsidR="00083338" w:rsidRPr="00083338" w:rsidRDefault="00083338" w:rsidP="00083338">
      <w:pPr>
        <w:numPr>
          <w:ilvl w:val="0"/>
          <w:numId w:val="10"/>
        </w:numPr>
        <w:rPr>
          <w:rFonts w:ascii="Open Sans" w:hAnsi="Open Sans" w:cs="Open Sans"/>
          <w:sz w:val="22"/>
          <w:szCs w:val="22"/>
        </w:rPr>
      </w:pPr>
      <w:r w:rsidRPr="00083338">
        <w:rPr>
          <w:rFonts w:ascii="Open Sans" w:hAnsi="Open Sans" w:cs="Open Sans"/>
          <w:sz w:val="22"/>
          <w:szCs w:val="22"/>
        </w:rPr>
        <w:t>Experience in property strategy, asset management, or estates optimisation</w:t>
      </w:r>
    </w:p>
    <w:p w14:paraId="475AF2EC" w14:textId="77777777" w:rsidR="00083338" w:rsidRPr="00083338" w:rsidRDefault="00083338" w:rsidP="00083338">
      <w:pPr>
        <w:numPr>
          <w:ilvl w:val="0"/>
          <w:numId w:val="10"/>
        </w:numPr>
        <w:rPr>
          <w:rFonts w:ascii="Open Sans" w:hAnsi="Open Sans" w:cs="Open Sans"/>
          <w:sz w:val="22"/>
          <w:szCs w:val="22"/>
        </w:rPr>
      </w:pPr>
      <w:r w:rsidRPr="00083338">
        <w:rPr>
          <w:rFonts w:ascii="Open Sans" w:hAnsi="Open Sans" w:cs="Open Sans"/>
          <w:sz w:val="22"/>
          <w:szCs w:val="22"/>
        </w:rPr>
        <w:lastRenderedPageBreak/>
        <w:t>Understanding of governance in a regulated environment</w:t>
      </w:r>
    </w:p>
    <w:p w14:paraId="68EA9BF7" w14:textId="152AA8C5" w:rsidR="00083338" w:rsidRPr="00414FBB" w:rsidRDefault="00083338" w:rsidP="00083338">
      <w:pPr>
        <w:numPr>
          <w:ilvl w:val="0"/>
          <w:numId w:val="10"/>
        </w:numPr>
        <w:rPr>
          <w:rFonts w:ascii="Open Sans" w:hAnsi="Open Sans" w:cs="Open Sans"/>
          <w:sz w:val="22"/>
          <w:szCs w:val="22"/>
        </w:rPr>
      </w:pPr>
      <w:r w:rsidRPr="00083338">
        <w:rPr>
          <w:rFonts w:ascii="Open Sans" w:hAnsi="Open Sans" w:cs="Open Sans"/>
          <w:sz w:val="22"/>
          <w:szCs w:val="22"/>
        </w:rPr>
        <w:t>Established professional networks relevant to partnership or income generation opportunities</w:t>
      </w:r>
    </w:p>
    <w:p w14:paraId="6E279A37" w14:textId="77777777" w:rsidR="00083338" w:rsidRPr="00083338" w:rsidRDefault="00083338" w:rsidP="00083338">
      <w:pPr>
        <w:rPr>
          <w:rFonts w:ascii="Open Sans" w:hAnsi="Open Sans" w:cs="Open Sans"/>
          <w:b/>
          <w:bCs/>
          <w:sz w:val="22"/>
          <w:szCs w:val="22"/>
        </w:rPr>
      </w:pPr>
      <w:r w:rsidRPr="00083338">
        <w:rPr>
          <w:rFonts w:ascii="Open Sans" w:hAnsi="Open Sans" w:cs="Open Sans"/>
          <w:b/>
          <w:bCs/>
          <w:sz w:val="22"/>
          <w:szCs w:val="22"/>
        </w:rPr>
        <w:t>Commitment</w:t>
      </w:r>
    </w:p>
    <w:p w14:paraId="00541091" w14:textId="77777777" w:rsidR="00083338" w:rsidRPr="00083338" w:rsidRDefault="00083338" w:rsidP="00083338">
      <w:pPr>
        <w:rPr>
          <w:rFonts w:ascii="Open Sans" w:hAnsi="Open Sans" w:cs="Open Sans"/>
          <w:sz w:val="22"/>
          <w:szCs w:val="22"/>
        </w:rPr>
      </w:pPr>
      <w:r w:rsidRPr="00083338">
        <w:rPr>
          <w:rFonts w:ascii="Open Sans" w:hAnsi="Open Sans" w:cs="Open Sans"/>
          <w:sz w:val="22"/>
          <w:szCs w:val="22"/>
        </w:rPr>
        <w:t>The time commitment is consistent with that of a General Trustee and is expected to be not less than one day per month, including:</w:t>
      </w:r>
    </w:p>
    <w:p w14:paraId="340C4366" w14:textId="77777777" w:rsidR="00083338" w:rsidRPr="00083338" w:rsidRDefault="00083338" w:rsidP="00083338">
      <w:pPr>
        <w:numPr>
          <w:ilvl w:val="0"/>
          <w:numId w:val="1"/>
        </w:numPr>
        <w:rPr>
          <w:rFonts w:ascii="Open Sans" w:hAnsi="Open Sans" w:cs="Open Sans"/>
          <w:sz w:val="22"/>
          <w:szCs w:val="22"/>
        </w:rPr>
      </w:pPr>
      <w:r w:rsidRPr="00083338">
        <w:rPr>
          <w:rFonts w:ascii="Open Sans" w:hAnsi="Open Sans" w:cs="Open Sans"/>
          <w:sz w:val="22"/>
          <w:szCs w:val="22"/>
        </w:rPr>
        <w:t>Attendance at Board meetings (four per year)</w:t>
      </w:r>
    </w:p>
    <w:p w14:paraId="558266CA" w14:textId="77777777" w:rsidR="00083338" w:rsidRPr="009D3D8F" w:rsidRDefault="00083338" w:rsidP="009D3D8F">
      <w:pPr>
        <w:pStyle w:val="ListParagraph"/>
        <w:numPr>
          <w:ilvl w:val="0"/>
          <w:numId w:val="1"/>
        </w:numPr>
        <w:rPr>
          <w:rFonts w:ascii="Open Sans" w:hAnsi="Open Sans" w:cs="Open Sans"/>
          <w:sz w:val="22"/>
          <w:szCs w:val="22"/>
        </w:rPr>
      </w:pPr>
      <w:r w:rsidRPr="009D3D8F">
        <w:rPr>
          <w:rFonts w:ascii="Open Sans" w:hAnsi="Open Sans" w:cs="Open Sans"/>
          <w:sz w:val="22"/>
          <w:szCs w:val="22"/>
        </w:rPr>
        <w:t>Participation in relevant committees (e.g. Finance &amp; Resources)</w:t>
      </w:r>
    </w:p>
    <w:p w14:paraId="1A60AC30" w14:textId="1BC7DF95" w:rsidR="00083338" w:rsidRPr="00414FBB" w:rsidRDefault="00083338" w:rsidP="00414FBB">
      <w:pPr>
        <w:numPr>
          <w:ilvl w:val="0"/>
          <w:numId w:val="1"/>
        </w:numPr>
        <w:rPr>
          <w:rFonts w:ascii="Open Sans" w:hAnsi="Open Sans" w:cs="Open Sans"/>
          <w:sz w:val="22"/>
          <w:szCs w:val="22"/>
        </w:rPr>
      </w:pPr>
      <w:r w:rsidRPr="00083338">
        <w:rPr>
          <w:rFonts w:ascii="Open Sans" w:hAnsi="Open Sans" w:cs="Open Sans"/>
          <w:sz w:val="22"/>
          <w:szCs w:val="22"/>
        </w:rPr>
        <w:t>Preparation for meetings and ad hoc support as required</w:t>
      </w:r>
    </w:p>
    <w:p w14:paraId="17642DDC" w14:textId="77777777" w:rsidR="00083338" w:rsidRPr="00083338" w:rsidRDefault="00083338" w:rsidP="00083338">
      <w:pPr>
        <w:rPr>
          <w:rFonts w:ascii="Open Sans" w:hAnsi="Open Sans" w:cs="Open Sans"/>
          <w:b/>
          <w:bCs/>
          <w:sz w:val="22"/>
          <w:szCs w:val="22"/>
        </w:rPr>
      </w:pPr>
      <w:r w:rsidRPr="00083338">
        <w:rPr>
          <w:rFonts w:ascii="Open Sans" w:hAnsi="Open Sans" w:cs="Open Sans"/>
          <w:b/>
          <w:bCs/>
          <w:sz w:val="22"/>
          <w:szCs w:val="22"/>
        </w:rPr>
        <w:t>Key Considerations</w:t>
      </w:r>
    </w:p>
    <w:p w14:paraId="79400931" w14:textId="77777777" w:rsidR="00083338" w:rsidRPr="00083338" w:rsidRDefault="00083338" w:rsidP="00083338">
      <w:pPr>
        <w:numPr>
          <w:ilvl w:val="0"/>
          <w:numId w:val="7"/>
        </w:numPr>
        <w:rPr>
          <w:rFonts w:ascii="Open Sans" w:hAnsi="Open Sans" w:cs="Open Sans"/>
          <w:sz w:val="22"/>
          <w:szCs w:val="22"/>
        </w:rPr>
      </w:pPr>
      <w:r w:rsidRPr="00083338">
        <w:rPr>
          <w:rFonts w:ascii="Open Sans" w:hAnsi="Open Sans" w:cs="Open Sans"/>
          <w:sz w:val="22"/>
          <w:szCs w:val="22"/>
        </w:rPr>
        <w:t>The role is advisory and strategic rather than operational</w:t>
      </w:r>
    </w:p>
    <w:p w14:paraId="28AD8674" w14:textId="77777777" w:rsidR="00083338" w:rsidRPr="00083338" w:rsidRDefault="00083338" w:rsidP="00083338">
      <w:pPr>
        <w:numPr>
          <w:ilvl w:val="0"/>
          <w:numId w:val="7"/>
        </w:numPr>
        <w:rPr>
          <w:rFonts w:ascii="Open Sans" w:hAnsi="Open Sans" w:cs="Open Sans"/>
          <w:sz w:val="22"/>
          <w:szCs w:val="22"/>
        </w:rPr>
      </w:pPr>
      <w:r w:rsidRPr="00083338">
        <w:rPr>
          <w:rFonts w:ascii="Open Sans" w:hAnsi="Open Sans" w:cs="Open Sans"/>
          <w:sz w:val="22"/>
          <w:szCs w:val="22"/>
        </w:rPr>
        <w:t>The Commercial Lead does not replace executive responsibility but enhances Board capability</w:t>
      </w:r>
    </w:p>
    <w:p w14:paraId="240BC81D" w14:textId="77777777" w:rsidR="00083338" w:rsidRPr="00083338" w:rsidRDefault="00083338" w:rsidP="00083338">
      <w:pPr>
        <w:numPr>
          <w:ilvl w:val="0"/>
          <w:numId w:val="7"/>
        </w:numPr>
        <w:rPr>
          <w:rFonts w:ascii="Open Sans" w:hAnsi="Open Sans" w:cs="Open Sans"/>
          <w:sz w:val="22"/>
          <w:szCs w:val="22"/>
        </w:rPr>
      </w:pPr>
      <w:r w:rsidRPr="00083338">
        <w:rPr>
          <w:rFonts w:ascii="Open Sans" w:hAnsi="Open Sans" w:cs="Open Sans"/>
          <w:sz w:val="22"/>
          <w:szCs w:val="22"/>
        </w:rPr>
        <w:t>All trustees, including the Commercial Lead, share collective responsibility for decisions</w:t>
      </w:r>
    </w:p>
    <w:p w14:paraId="6111A2B3" w14:textId="77777777" w:rsidR="00083338" w:rsidRPr="00083338" w:rsidRDefault="00083338" w:rsidP="00083338">
      <w:pPr>
        <w:rPr>
          <w:rFonts w:ascii="Open Sans" w:hAnsi="Open Sans" w:cs="Open Sans"/>
        </w:rPr>
      </w:pPr>
    </w:p>
    <w:p w14:paraId="423441DD" w14:textId="77777777" w:rsidR="00723541" w:rsidRPr="00083338" w:rsidRDefault="00723541">
      <w:pPr>
        <w:rPr>
          <w:rFonts w:ascii="Open Sans" w:hAnsi="Open Sans" w:cs="Open Sans"/>
        </w:rPr>
      </w:pPr>
    </w:p>
    <w:sectPr w:rsidR="00723541" w:rsidRPr="0008333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3954A" w14:textId="77777777" w:rsidR="00282113" w:rsidRDefault="00282113" w:rsidP="00083338">
      <w:pPr>
        <w:spacing w:after="0" w:line="240" w:lineRule="auto"/>
      </w:pPr>
      <w:r>
        <w:separator/>
      </w:r>
    </w:p>
  </w:endnote>
  <w:endnote w:type="continuationSeparator" w:id="0">
    <w:p w14:paraId="5600B086" w14:textId="77777777" w:rsidR="00282113" w:rsidRDefault="00282113" w:rsidP="0008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FFD6" w14:textId="77777777" w:rsidR="00282113" w:rsidRDefault="00282113" w:rsidP="00083338">
      <w:pPr>
        <w:spacing w:after="0" w:line="240" w:lineRule="auto"/>
      </w:pPr>
      <w:r>
        <w:separator/>
      </w:r>
    </w:p>
  </w:footnote>
  <w:footnote w:type="continuationSeparator" w:id="0">
    <w:p w14:paraId="13EFC2EF" w14:textId="77777777" w:rsidR="00282113" w:rsidRDefault="00282113" w:rsidP="0008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AB46" w14:textId="4E76D785" w:rsidR="00083338" w:rsidRDefault="00083338" w:rsidP="00083338">
    <w:pPr>
      <w:pStyle w:val="Header"/>
      <w:jc w:val="center"/>
    </w:pPr>
    <w:r w:rsidRPr="006B5E9C">
      <w:rPr>
        <w:noProof/>
        <w:lang w:val="en-US"/>
      </w:rPr>
      <w:drawing>
        <wp:inline distT="0" distB="0" distL="0" distR="0" wp14:anchorId="4036F583" wp14:editId="17758785">
          <wp:extent cx="2354580" cy="815340"/>
          <wp:effectExtent l="0" t="0" r="0" b="0"/>
          <wp:docPr id="3" name="Picture 2" descr="Logo&#10;&#10;Description automatically generated">
            <a:extLst xmlns:a="http://schemas.openxmlformats.org/drawingml/2006/main">
              <a:ext uri="{FF2B5EF4-FFF2-40B4-BE49-F238E27FC236}">
                <a16:creationId xmlns:a16="http://schemas.microsoft.com/office/drawing/2014/main" id="{28A82A69-A10F-4978-BAAC-E6C86DB966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8153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762E"/>
    <w:multiLevelType w:val="multilevel"/>
    <w:tmpl w:val="4928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F1F67"/>
    <w:multiLevelType w:val="multilevel"/>
    <w:tmpl w:val="E83A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B1FA2"/>
    <w:multiLevelType w:val="multilevel"/>
    <w:tmpl w:val="A612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C0F3E"/>
    <w:multiLevelType w:val="multilevel"/>
    <w:tmpl w:val="E978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A61B9"/>
    <w:multiLevelType w:val="multilevel"/>
    <w:tmpl w:val="6872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31711"/>
    <w:multiLevelType w:val="multilevel"/>
    <w:tmpl w:val="257E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560C65"/>
    <w:multiLevelType w:val="multilevel"/>
    <w:tmpl w:val="5C6E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A85470"/>
    <w:multiLevelType w:val="multilevel"/>
    <w:tmpl w:val="477E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9E09D1"/>
    <w:multiLevelType w:val="multilevel"/>
    <w:tmpl w:val="792C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241426"/>
    <w:multiLevelType w:val="multilevel"/>
    <w:tmpl w:val="437E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B8643D"/>
    <w:multiLevelType w:val="multilevel"/>
    <w:tmpl w:val="84FA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0016056">
    <w:abstractNumId w:val="5"/>
  </w:num>
  <w:num w:numId="2" w16cid:durableId="1347557889">
    <w:abstractNumId w:val="3"/>
  </w:num>
  <w:num w:numId="3" w16cid:durableId="1439642356">
    <w:abstractNumId w:val="1"/>
  </w:num>
  <w:num w:numId="4" w16cid:durableId="1610619435">
    <w:abstractNumId w:val="6"/>
  </w:num>
  <w:num w:numId="5" w16cid:durableId="1983383440">
    <w:abstractNumId w:val="4"/>
  </w:num>
  <w:num w:numId="6" w16cid:durableId="2032610219">
    <w:abstractNumId w:val="0"/>
  </w:num>
  <w:num w:numId="7" w16cid:durableId="2046980040">
    <w:abstractNumId w:val="2"/>
  </w:num>
  <w:num w:numId="8" w16cid:durableId="2121951822">
    <w:abstractNumId w:val="9"/>
  </w:num>
  <w:num w:numId="9" w16cid:durableId="33769937">
    <w:abstractNumId w:val="10"/>
  </w:num>
  <w:num w:numId="10" w16cid:durableId="348265308">
    <w:abstractNumId w:val="7"/>
  </w:num>
  <w:num w:numId="11" w16cid:durableId="444663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38"/>
    <w:rsid w:val="00083338"/>
    <w:rsid w:val="000A7CC5"/>
    <w:rsid w:val="0013323D"/>
    <w:rsid w:val="00210493"/>
    <w:rsid w:val="00282113"/>
    <w:rsid w:val="002E2945"/>
    <w:rsid w:val="003D057D"/>
    <w:rsid w:val="00414FBB"/>
    <w:rsid w:val="00594FA8"/>
    <w:rsid w:val="005F74D0"/>
    <w:rsid w:val="00602D3B"/>
    <w:rsid w:val="00707AF9"/>
    <w:rsid w:val="00723541"/>
    <w:rsid w:val="00922CF1"/>
    <w:rsid w:val="009833B8"/>
    <w:rsid w:val="009D3D8F"/>
    <w:rsid w:val="00AA427E"/>
    <w:rsid w:val="00AC3800"/>
    <w:rsid w:val="00AD5F47"/>
    <w:rsid w:val="00B05C0D"/>
    <w:rsid w:val="00B2405E"/>
    <w:rsid w:val="00B76DE9"/>
    <w:rsid w:val="00C33055"/>
    <w:rsid w:val="00CB29F3"/>
    <w:rsid w:val="00CD0B06"/>
    <w:rsid w:val="00D4652E"/>
    <w:rsid w:val="00DF226B"/>
    <w:rsid w:val="00E332FF"/>
    <w:rsid w:val="00E50A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796E"/>
  <w15:chartTrackingRefBased/>
  <w15:docId w15:val="{FAC3E942-0FC9-40EF-AA20-482B8E38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33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3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3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3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3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3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338"/>
    <w:rPr>
      <w:rFonts w:eastAsiaTheme="majorEastAsia" w:cstheme="majorBidi"/>
      <w:color w:val="272727" w:themeColor="text1" w:themeTint="D8"/>
    </w:rPr>
  </w:style>
  <w:style w:type="paragraph" w:styleId="Title">
    <w:name w:val="Title"/>
    <w:basedOn w:val="Normal"/>
    <w:next w:val="Normal"/>
    <w:link w:val="TitleChar"/>
    <w:uiPriority w:val="10"/>
    <w:qFormat/>
    <w:rsid w:val="00083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338"/>
    <w:pPr>
      <w:spacing w:before="160"/>
      <w:jc w:val="center"/>
    </w:pPr>
    <w:rPr>
      <w:i/>
      <w:iCs/>
      <w:color w:val="404040" w:themeColor="text1" w:themeTint="BF"/>
    </w:rPr>
  </w:style>
  <w:style w:type="character" w:customStyle="1" w:styleId="QuoteChar">
    <w:name w:val="Quote Char"/>
    <w:basedOn w:val="DefaultParagraphFont"/>
    <w:link w:val="Quote"/>
    <w:uiPriority w:val="29"/>
    <w:rsid w:val="00083338"/>
    <w:rPr>
      <w:i/>
      <w:iCs/>
      <w:color w:val="404040" w:themeColor="text1" w:themeTint="BF"/>
    </w:rPr>
  </w:style>
  <w:style w:type="paragraph" w:styleId="ListParagraph">
    <w:name w:val="List Paragraph"/>
    <w:basedOn w:val="Normal"/>
    <w:uiPriority w:val="34"/>
    <w:qFormat/>
    <w:rsid w:val="00083338"/>
    <w:pPr>
      <w:ind w:left="720"/>
      <w:contextualSpacing/>
    </w:pPr>
  </w:style>
  <w:style w:type="character" w:styleId="IntenseEmphasis">
    <w:name w:val="Intense Emphasis"/>
    <w:basedOn w:val="DefaultParagraphFont"/>
    <w:uiPriority w:val="21"/>
    <w:qFormat/>
    <w:rsid w:val="00083338"/>
    <w:rPr>
      <w:i/>
      <w:iCs/>
      <w:color w:val="0F4761" w:themeColor="accent1" w:themeShade="BF"/>
    </w:rPr>
  </w:style>
  <w:style w:type="paragraph" w:styleId="IntenseQuote">
    <w:name w:val="Intense Quote"/>
    <w:basedOn w:val="Normal"/>
    <w:next w:val="Normal"/>
    <w:link w:val="IntenseQuoteChar"/>
    <w:uiPriority w:val="30"/>
    <w:qFormat/>
    <w:rsid w:val="00083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338"/>
    <w:rPr>
      <w:i/>
      <w:iCs/>
      <w:color w:val="0F4761" w:themeColor="accent1" w:themeShade="BF"/>
    </w:rPr>
  </w:style>
  <w:style w:type="character" w:styleId="IntenseReference">
    <w:name w:val="Intense Reference"/>
    <w:basedOn w:val="DefaultParagraphFont"/>
    <w:uiPriority w:val="32"/>
    <w:qFormat/>
    <w:rsid w:val="00083338"/>
    <w:rPr>
      <w:b/>
      <w:bCs/>
      <w:smallCaps/>
      <w:color w:val="0F4761" w:themeColor="accent1" w:themeShade="BF"/>
      <w:spacing w:val="5"/>
    </w:rPr>
  </w:style>
  <w:style w:type="paragraph" w:styleId="Header">
    <w:name w:val="header"/>
    <w:basedOn w:val="Normal"/>
    <w:link w:val="HeaderChar"/>
    <w:uiPriority w:val="99"/>
    <w:unhideWhenUsed/>
    <w:rsid w:val="000833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338"/>
  </w:style>
  <w:style w:type="paragraph" w:styleId="Footer">
    <w:name w:val="footer"/>
    <w:basedOn w:val="Normal"/>
    <w:link w:val="FooterChar"/>
    <w:uiPriority w:val="99"/>
    <w:unhideWhenUsed/>
    <w:rsid w:val="00083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338"/>
  </w:style>
  <w:style w:type="character" w:styleId="Strong">
    <w:name w:val="Strong"/>
    <w:basedOn w:val="DefaultParagraphFont"/>
    <w:uiPriority w:val="22"/>
    <w:qFormat/>
    <w:rsid w:val="003D057D"/>
    <w:rPr>
      <w:b/>
      <w:bCs/>
    </w:rPr>
  </w:style>
  <w:style w:type="paragraph" w:styleId="NormalWeb">
    <w:name w:val="Normal (Web)"/>
    <w:basedOn w:val="Normal"/>
    <w:uiPriority w:val="99"/>
    <w:semiHidden/>
    <w:unhideWhenUsed/>
    <w:rsid w:val="003D057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A2C72ADDAB494FA2CF9A64D2AD5AF0" ma:contentTypeVersion="17" ma:contentTypeDescription="Create a new document." ma:contentTypeScope="" ma:versionID="ba75cab8b6a7d49a99daa575609d01be">
  <xsd:schema xmlns:xsd="http://www.w3.org/2001/XMLSchema" xmlns:xs="http://www.w3.org/2001/XMLSchema" xmlns:p="http://schemas.microsoft.com/office/2006/metadata/properties" xmlns:ns2="70875f7f-459c-45f8-a088-ca64477d44d7" xmlns:ns3="9af93287-1eac-463e-b20d-c09f81416f61" xmlns:ns4="2742bbb5-d832-4556-9006-8a246a5838e7" targetNamespace="http://schemas.microsoft.com/office/2006/metadata/properties" ma:root="true" ma:fieldsID="e781bca015139cbaf51375244be52767" ns2:_="" ns3:_="" ns4:_="">
    <xsd:import namespace="70875f7f-459c-45f8-a088-ca64477d44d7"/>
    <xsd:import namespace="9af93287-1eac-463e-b20d-c09f81416f61"/>
    <xsd:import namespace="2742bbb5-d832-4556-9006-8a246a5838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75f7f-459c-45f8-a088-ca64477d4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124609f-8737-4b56-b20c-da74ed42688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f93287-1eac-463e-b20d-c09f81416f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42bbb5-d832-4556-9006-8a246a5838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101dfe-e724-42a5-a7c9-befe02badcb6}" ma:internalName="TaxCatchAll" ma:showField="CatchAllData" ma:web="2742bbb5-d832-4556-9006-8a246a583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875f7f-459c-45f8-a088-ca64477d44d7">
      <Terms xmlns="http://schemas.microsoft.com/office/infopath/2007/PartnerControls"/>
    </lcf76f155ced4ddcb4097134ff3c332f>
    <TaxCatchAll xmlns="2742bbb5-d832-4556-9006-8a246a5838e7" xsi:nil="true"/>
  </documentManagement>
</p:properties>
</file>

<file path=customXml/itemProps1.xml><?xml version="1.0" encoding="utf-8"?>
<ds:datastoreItem xmlns:ds="http://schemas.openxmlformats.org/officeDocument/2006/customXml" ds:itemID="{D37CCA28-015B-4FFD-AC6B-53379252BF16}">
  <ds:schemaRefs>
    <ds:schemaRef ds:uri="http://schemas.microsoft.com/sharepoint/v3/contenttype/forms"/>
  </ds:schemaRefs>
</ds:datastoreItem>
</file>

<file path=customXml/itemProps2.xml><?xml version="1.0" encoding="utf-8"?>
<ds:datastoreItem xmlns:ds="http://schemas.openxmlformats.org/officeDocument/2006/customXml" ds:itemID="{168D5587-53FC-46DE-96EE-9781858C5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75f7f-459c-45f8-a088-ca64477d44d7"/>
    <ds:schemaRef ds:uri="9af93287-1eac-463e-b20d-c09f81416f61"/>
    <ds:schemaRef ds:uri="2742bbb5-d832-4556-9006-8a246a583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0C125-3780-4798-A3CC-01BEAC73F095}">
  <ds:schemaRefs>
    <ds:schemaRef ds:uri="http://schemas.microsoft.com/office/2006/metadata/properties"/>
    <ds:schemaRef ds:uri="http://schemas.microsoft.com/office/infopath/2007/PartnerControls"/>
    <ds:schemaRef ds:uri="70875f7f-459c-45f8-a088-ca64477d44d7"/>
    <ds:schemaRef ds:uri="2742bbb5-d832-4556-9006-8a246a5838e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Larkin</dc:creator>
  <cp:keywords/>
  <dc:description/>
  <cp:lastModifiedBy>Millie Phillpot</cp:lastModifiedBy>
  <cp:revision>2</cp:revision>
  <dcterms:created xsi:type="dcterms:W3CDTF">2026-04-20T08:58:00Z</dcterms:created>
  <dcterms:modified xsi:type="dcterms:W3CDTF">2026-04-20T08:58:00Z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0x01010063A2C72ADDAB494FA2CF9A64D2AD5AF0</vt:lpwstr>
  </property>
  <property fmtid="{D5CDD505-2E9C-101B-9397-08002B2CF9AE}" pid="3" name="MediaServiceImageTags">
    <vt:lpwstr/>
  </property>
</Properties>
</file>